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5′-AMP-activated protein kinase catalytic subunit α2 (PRKAA2; AMPKα2) is a member of the highly conserved AMP-activated protein kinase family within the CAMK group of serine/threonine kinases (Henriksson, 2012; Steinberg &amp; Hardie, 2023). Orthologues are present across eukaryotes—from yeast SNF1 to plant SnRK1—indicating origin in the last eukaryotic common ancestor (Jain et al., 2018; Yan et al., 2018). Mammals encode two catalytic isoforms, AMPKα1 and AMPKα2, which form mutually exclusive heterotrimers with β and γ subunits and display overlapping yet distinct tissue-specific roles (Russo et al., 2013; Henriksson, 2012).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⇌ ADP + H⁺ + O-phospho-L-seryl/threonyl-[protein] (Hawley et al., 2023).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Mg²⁺ for coordination with ATP during phosphotransfer (Hawley et al., 2023).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AMPKα2 prefers Ser/Thr residues within motifs enriched in basic residues (often at –3/–4) and with hydrophobic residues at defined positions (Rana et al., 2015; Yan et al., 2018). Validated substrates include ACACA, ACACB, LIPE, CRTC2, FOXO3, TSC2, RPTOR and ULK1, spanning lipid, carbohydrate and autophagy pathways (Russo et al., 2013).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AMPKα2 contains an N-terminal bilobal kinase domain with an activation loop harbouring Thr172, an α-C helix and catalytic spine (Li et al., 2015; Kurumbail &amp; Calabrese, 2016). C-terminal regions mediate assembly with regulatory β/γ subunits; the γ subunit’s CBS domains bind AMP/ADP/ATP to allosterically modulate the catalytic core (Yan et al., 2018). Nucleotide binding induces conformational changes that stabilise the phosphorylated activation loop and promote activity (Kurumbail &amp; Calabrese, 2016).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Activating phosphorylation of Thr172 by upstream kinases LKB1, CaMKKβ and TAK1 increases activity up to 1000-fold (Lu et al., 2021; Steinberg &amp; Hardie, 2023).</w:t>
      </w:r>
      <w:r>
        <w:br/>
      </w:r>
      <w:r>
        <w:t xml:space="preserve">• AMP or ADP binding to the γ subunit allosterically stimulates the enzyme (≈2–5-fold) and protects Thr172 from dephosphorylation (Ovens et al., 2021; Yan et al., 2018).</w:t>
      </w:r>
      <w:r>
        <w:br/>
      </w:r>
      <w:r>
        <w:t xml:space="preserve">• Inhibitory phosphorylation at Ser485/491 by Akt or PKA counteracts activation (Lu et al., 2021; Ovens et al., 2021).</w:t>
      </w:r>
      <w:r>
        <w:br/>
      </w:r>
      <w:r>
        <w:t xml:space="preserve">• Additional post-translational modifications (e.g., ubiquitination) influence stability and turnover (Ovens et al., 2021).</w:t>
      </w:r>
      <w:r>
        <w:br/>
      </w:r>
      <w:r>
        <w:t xml:space="preserve">• Small-molecule ligands can activate (A-769662, MK-8722) or inhibit (Bay-3827, SBI-0206965) activity through distinct allosteric or catalytic-site interactions (Hawley et al., 2023; Rana et al., 2015).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AMPKα2 is a master energy sensor that switches metabolism from anabolic to catabolic during energy stress. Activated AMPKα2:</w:t>
      </w:r>
      <w:r>
        <w:br/>
      </w:r>
      <w:r>
        <w:t xml:space="preserve">• inhibits fatty-acid synthesis and promotes β-oxidation via phosphorylation of ACACA/B (Hawley et al., 2023).</w:t>
      </w:r>
      <w:r>
        <w:br/>
      </w:r>
      <w:r>
        <w:t xml:space="preserve">• regulates glucose uptake by modulating IRS1 and GLUT4 trafficking (Russo et al., 2013).</w:t>
      </w:r>
      <w:r>
        <w:br/>
      </w:r>
      <w:r>
        <w:t xml:space="preserve">• suppresses mTORC1-driven anabolism through phosphorylation of RPTOR and TSC2 (Steinberg &amp; Hardie, 2023).</w:t>
      </w:r>
      <w:r>
        <w:br/>
      </w:r>
      <w:r>
        <w:t xml:space="preserve">• promotes autophagy via ULK1 phosphorylation (Lu et al., 2021).</w:t>
      </w:r>
      <w:r>
        <w:br/>
      </w:r>
      <w:r>
        <w:t xml:space="preserve">• affects transcription (CRTC2, FOXO3, p53) and mitochondrial biogenesis, circadian rhythm (CRY1) and cytoskeletal dynamics (Steinberg &amp; Hardie, 2023; Sukumaran et al., 2020).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ATP-competitive inhibitors Bay-3827 and SBI-0206965 decrease catalytic activity but paradoxically elevate Thr172 phosphorylation (Hawley et al., 2023). Additional direct activators/ligands include A-769662, MK-8722 and the anti-diabetic drug metformin, which elevate AMPKα2 signalling via distinct mechanisms (Rana et al., 2015; Russell &amp; Hardie, 2020).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Dysregulated AMPKα2 activity contributes to type 2 diabetes, obesity, cancer and cardiovascular disease. Pharmacological modulation (activators or inhibitors) is being explored for metabolic disorders and oncology (Russo et al., 2013; Steinberg &amp; Hardie, 2023; Rana et al., 2015). Ubiquitin-mediated degradation pathways present additional therapeutic targets (Ovens et al., 2021).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Hawley, S. A., Russell, F. M., Ross, F. A., &amp; Hardie, D. G. (2023). Bay-3827 and SBI-0206965: potent AMPK inhibitors that paradoxically increase Thr172 phosphorylation.</w:t>
      </w:r>
      <w:r>
        <w:t xml:space="preserve"> </w:t>
      </w:r>
      <w:r>
        <w:rPr>
          <w:i/>
          <w:iCs/>
        </w:rPr>
        <w:t xml:space="preserve">International Journal of Molecular Sciences, 25</w:t>
      </w:r>
      <w:r>
        <w:t xml:space="preserve">, 453. https://doi.org/10.3390/ijms25010453</w:t>
      </w:r>
    </w:p>
    <w:p>
      <w:pPr>
        <w:pStyle w:val="BodyText"/>
      </w:pPr>
      <w:r>
        <w:t xml:space="preserve">Henriksson, E. (2012).</w:t>
      </w:r>
      <w:r>
        <w:t xml:space="preserve"> </w:t>
      </w:r>
      <w:r>
        <w:rPr>
          <w:i/>
          <w:iCs/>
        </w:rPr>
        <w:t xml:space="preserve">LKB1 signaling pathways in adipocytes—focus on the AMPK-related kinase SIK2</w:t>
      </w:r>
      <w:r>
        <w:t xml:space="preserve">. [Unpublished doctoral dissertation].</w:t>
      </w:r>
    </w:p>
    <w:p>
      <w:pPr>
        <w:pStyle w:val="BodyText"/>
      </w:pPr>
      <w:r>
        <w:t xml:space="preserve">Jain, A., Roustan, V., Weckwerth, W., &amp; Ebersberger, I. (2018). Studying AMPK in an evolutionary context.</w:t>
      </w:r>
      <w:r>
        <w:t xml:space="preserve"> </w:t>
      </w:r>
      <w:r>
        <w:rPr>
          <w:i/>
          <w:iCs/>
        </w:rPr>
        <w:t xml:space="preserve">Methods in Molecular Biology, 1732</w:t>
      </w:r>
      <w:r>
        <w:t xml:space="preserve">, 111–142. https://doi.org/10.1007/978-1-4939-7598-3_8</w:t>
      </w:r>
    </w:p>
    <w:p>
      <w:pPr>
        <w:pStyle w:val="BodyText"/>
      </w:pPr>
      <w:r>
        <w:t xml:space="preserve">Klaus, A., Polge, C., Zorman, S., Auchli, Y., Brunisholz, R., &amp; Schlattner, U. (2012). A two-dimensional screen for AMPK substrates identifies tumour-suppressor fumarate hydratase as a preferential AMPKα2 substrate.</w:t>
      </w:r>
      <w:r>
        <w:t xml:space="preserve"> </w:t>
      </w:r>
      <w:r>
        <w:rPr>
          <w:i/>
          <w:iCs/>
        </w:rPr>
        <w:t xml:space="preserve">Journal of Proteomics, 75</w:t>
      </w:r>
      <w:r>
        <w:t xml:space="preserve">, 3304–3313. https://doi.org/10.1016/j.jprot.2012.03.040</w:t>
      </w:r>
    </w:p>
    <w:p>
      <w:pPr>
        <w:pStyle w:val="BodyText"/>
      </w:pPr>
      <w:r>
        <w:t xml:space="preserve">Kurumbail, R. G., &amp; Calabrese, M. F. (2016). Structure and regulation of AMPK.</w:t>
      </w:r>
      <w:r>
        <w:t xml:space="preserve"> </w:t>
      </w:r>
      <w:r>
        <w:rPr>
          <w:i/>
          <w:iCs/>
        </w:rPr>
        <w:t xml:space="preserve">Experientia Supplementum, 107</w:t>
      </w:r>
      <w:r>
        <w:t xml:space="preserve">, 3–22. https://doi.org/10.1007/978-3-319-43589-3_1</w:t>
      </w:r>
    </w:p>
    <w:p>
      <w:pPr>
        <w:pStyle w:val="BodyText"/>
      </w:pPr>
      <w:r>
        <w:t xml:space="preserve">Li, X., Wang, L., Zhou, X. E., et al. (2015). Structural basis of AMPK regulation by adenine nucleotides and glycogen.</w:t>
      </w:r>
      <w:r>
        <w:t xml:space="preserve"> </w:t>
      </w:r>
      <w:r>
        <w:rPr>
          <w:i/>
          <w:iCs/>
        </w:rPr>
        <w:t xml:space="preserve">Cell Research, 25</w:t>
      </w:r>
      <w:r>
        <w:t xml:space="preserve">, 50–66. https://doi.org/10.1038/cr.2014.150</w:t>
      </w:r>
    </w:p>
    <w:p>
      <w:pPr>
        <w:pStyle w:val="BodyText"/>
      </w:pPr>
      <w:r>
        <w:t xml:space="preserve">Lu, J., Huang, Y., Zhan, L., et al. (2021). AMPKα2 activation by an energy-independent signal ensures chromosomal stability during mitosis.</w:t>
      </w:r>
      <w:r>
        <w:t xml:space="preserve"> </w:t>
      </w:r>
      <w:r>
        <w:rPr>
          <w:i/>
          <w:iCs/>
        </w:rPr>
        <w:t xml:space="preserve">iScience, 24</w:t>
      </w:r>
      <w:r>
        <w:t xml:space="preserve">, 102363. https://doi.org/10.1016/j.isci.2021.102363</w:t>
      </w:r>
    </w:p>
    <w:p>
      <w:pPr>
        <w:pStyle w:val="BodyText"/>
      </w:pPr>
      <w:r>
        <w:t xml:space="preserve">Marin, T. L., Gongol, B., Martin, M., et al. (2015). Identification of AMPK targets by a consensus sequence search of the proteome.</w:t>
      </w:r>
      <w:r>
        <w:t xml:space="preserve"> </w:t>
      </w:r>
      <w:r>
        <w:rPr>
          <w:i/>
          <w:iCs/>
        </w:rPr>
        <w:t xml:space="preserve">BMC Systems Biology, 9</w:t>
      </w:r>
      <w:r>
        <w:t xml:space="preserve">, 13. https://doi.org/10.1186/s12918-015-0156-0</w:t>
      </w:r>
    </w:p>
    <w:p>
      <w:pPr>
        <w:pStyle w:val="BodyText"/>
      </w:pPr>
      <w:r>
        <w:t xml:space="preserve">Minchenko, D. O., &amp; Minchenko, O. H. (2012). SNF1/AMP-activated protein kinases: genes, expression and biological role.</w:t>
      </w:r>
      <w:r>
        <w:t xml:space="preserve"> </w:t>
      </w:r>
      <w:r>
        <w:rPr>
          <w:i/>
          <w:iCs/>
        </w:rPr>
        <w:t xml:space="preserve">InTechOpen</w:t>
      </w:r>
      <w:r>
        <w:t xml:space="preserve">. https://doi.org/10.5772/37820</w:t>
      </w:r>
    </w:p>
    <w:p>
      <w:pPr>
        <w:pStyle w:val="BodyText"/>
      </w:pPr>
      <w:r>
        <w:t xml:space="preserve">Ovens, A. J., Scott, J. W., Langendorf, C. G., et al. (2021). Post-translational modifications of the energy guardian AMP-activated protein kinase.</w:t>
      </w:r>
      <w:r>
        <w:t xml:space="preserve"> </w:t>
      </w:r>
      <w:r>
        <w:rPr>
          <w:i/>
          <w:iCs/>
        </w:rPr>
        <w:t xml:space="preserve">International Journal of Molecular Sciences, 22</w:t>
      </w:r>
      <w:r>
        <w:t xml:space="preserve">, 1229. https://doi.org/10.3390/ijms22031229</w:t>
      </w:r>
    </w:p>
    <w:p>
      <w:pPr>
        <w:pStyle w:val="BodyText"/>
      </w:pPr>
      <w:r>
        <w:t xml:space="preserve">Rana, S., Blowers, E. C., &amp; Natarajan, A. (2015). Small-molecule AMPK modulators and human diseases.</w:t>
      </w:r>
      <w:r>
        <w:t xml:space="preserve"> </w:t>
      </w:r>
      <w:r>
        <w:rPr>
          <w:i/>
          <w:iCs/>
        </w:rPr>
        <w:t xml:space="preserve">Journal of Medicinal Chemistry, 58</w:t>
      </w:r>
      <w:r>
        <w:t xml:space="preserve">, 2–29. https://doi.org/10.1021/jm401994c</w:t>
      </w:r>
    </w:p>
    <w:p>
      <w:pPr>
        <w:pStyle w:val="BodyText"/>
      </w:pPr>
      <w:r>
        <w:t xml:space="preserve">Russell, F. M., &amp; Hardie, D. G. (2020). AMP-activated protein kinase: Do we need activators or inhibitors to treat or prevent cancer?</w:t>
      </w:r>
      <w:r>
        <w:t xml:space="preserve"> </w:t>
      </w:r>
      <w:r>
        <w:rPr>
          <w:i/>
          <w:iCs/>
        </w:rPr>
        <w:t xml:space="preserve">International Journal of Molecular Sciences, 22</w:t>
      </w:r>
      <w:r>
        <w:t xml:space="preserve">, 186. https://doi.org/10.3390/ijms22010186</w:t>
      </w:r>
    </w:p>
    <w:p>
      <w:pPr>
        <w:pStyle w:val="BodyText"/>
      </w:pPr>
      <w:r>
        <w:t xml:space="preserve">Russo, G. L., Russo, M., &amp; Ungaro, P. (2013). AMP-activated protein kinase: A target for old drugs against diabetes and cancer.</w:t>
      </w:r>
      <w:r>
        <w:t xml:space="preserve"> </w:t>
      </w:r>
      <w:r>
        <w:rPr>
          <w:i/>
          <w:iCs/>
        </w:rPr>
        <w:t xml:space="preserve">Biochemical Pharmacology, 86</w:t>
      </w:r>
      <w:r>
        <w:t xml:space="preserve">, 339–350. https://doi.org/10.1016/j.bcp.2013.05.023</w:t>
      </w:r>
    </w:p>
    <w:p>
      <w:pPr>
        <w:pStyle w:val="BodyText"/>
      </w:pPr>
      <w:r>
        <w:t xml:space="preserve">Smiles, W. J., Ovens, A. J., Oakhill, J. S., &amp; Kofler, B. (2024). The metabolic sensor AMPK: twelve enzymes in one.</w:t>
      </w:r>
      <w:r>
        <w:t xml:space="preserve"> </w:t>
      </w:r>
      <w:r>
        <w:rPr>
          <w:i/>
          <w:iCs/>
        </w:rPr>
        <w:t xml:space="preserve">Molecular Metabolism, 90</w:t>
      </w:r>
      <w:r>
        <w:t xml:space="preserve">, 102042. https://doi.org/10.1016/j.molmet.2024.102042</w:t>
      </w:r>
    </w:p>
    <w:p>
      <w:pPr>
        <w:pStyle w:val="BodyText"/>
      </w:pPr>
      <w:r>
        <w:t xml:space="preserve">Smiles, W. J., Ovens, A. J., Yu, D., et al. (2025). AMPK phosphosite profiling by label-free mass spectrometry reveals a multitude of mTORC1-regulated substrates.</w:t>
      </w:r>
      <w:r>
        <w:t xml:space="preserve"> </w:t>
      </w:r>
      <w:r>
        <w:rPr>
          <w:i/>
          <w:iCs/>
        </w:rPr>
        <w:t xml:space="preserve">NPJ Metabolic Health and Disease</w:t>
      </w:r>
      <w:r>
        <w:t xml:space="preserve">. https://doi.org/10.1038/s44324-025-00052-7</w:t>
      </w:r>
    </w:p>
    <w:p>
      <w:pPr>
        <w:pStyle w:val="BodyText"/>
      </w:pPr>
      <w:r>
        <w:t xml:space="preserve">Steinberg, G. R., &amp; Hardie, D. G. (2023). New insights into activation and function of the AMPK.</w:t>
      </w:r>
      <w:r>
        <w:t xml:space="preserve"> </w:t>
      </w:r>
      <w:r>
        <w:rPr>
          <w:i/>
          <w:iCs/>
        </w:rPr>
        <w:t xml:space="preserve">Nature Reviews Molecular Cell Biology, 24</w:t>
      </w:r>
      <w:r>
        <w:t xml:space="preserve">, 255–272. https://doi.org/10.1038/s41580-022-00547-x</w:t>
      </w:r>
    </w:p>
    <w:p>
      <w:pPr>
        <w:pStyle w:val="BodyText"/>
      </w:pPr>
      <w:r>
        <w:t xml:space="preserve">Sukumaran, A., Choi, K., &amp; Dasgupta, B. (2020). Insight on transcriptional regulation of the energy sensing AMPK and biosynthetic mTOR pathway genes.</w:t>
      </w:r>
      <w:r>
        <w:t xml:space="preserve"> </w:t>
      </w:r>
      <w:r>
        <w:rPr>
          <w:i/>
          <w:iCs/>
        </w:rPr>
        <w:t xml:space="preserve">Frontiers in Cell and Developmental Biology, 8</w:t>
      </w:r>
      <w:r>
        <w:t xml:space="preserve">, 671. https://doi.org/10.3389/fcell.2020.00671</w:t>
      </w:r>
    </w:p>
    <w:p>
      <w:pPr>
        <w:pStyle w:val="BodyText"/>
      </w:pPr>
      <w:r>
        <w:t xml:space="preserve">Yan, Y., Zhou, X. E., Xu, H. E., &amp; Melcher, K. (2018). Structure and physiological regulation of AMPK.</w:t>
      </w:r>
      <w:r>
        <w:t xml:space="preserve"> </w:t>
      </w:r>
      <w:r>
        <w:rPr>
          <w:i/>
          <w:iCs/>
        </w:rPr>
        <w:t xml:space="preserve">International Journal of Molecular Sciences, 19</w:t>
      </w:r>
      <w:r>
        <w:t xml:space="preserve">, 3534. https://doi.org/10.3390/ijms19113534</w:t>
      </w:r>
    </w:p>
    <w:p>
      <w:pPr>
        <w:pStyle w:val="BodyText"/>
      </w:pPr>
      <w:r>
        <w:t xml:space="preserve">Zhu, X., Voncken, J. W., &amp; Neumann, D. (2016). In vitro methods to study AMPK.</w:t>
      </w:r>
      <w:r>
        <w:t xml:space="preserve"> </w:t>
      </w:r>
      <w:r>
        <w:rPr>
          <w:i/>
          <w:iCs/>
        </w:rPr>
        <w:t xml:space="preserve">Experientia Supplementum, 107</w:t>
      </w:r>
      <w:r>
        <w:t xml:space="preserve">, 471–489. https://doi.org/10.1007/978-3-319-43589-3_19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2025-06-25T18:17:04Z</dcterms:created>
  <dcterms:modified xsi:type="dcterms:W3CDTF">2025-06-25T18:17:04Z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