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Serine/threonine-protein kinase SGK1 is a member of the AGC kinase family and is highly conserved from yeast to mammals, indicating that it arose early in eukaryotic evolution (jeyaraj, pp. 27-30; Daniels, 2010, pp. 31-35). Within the human kinome, SGK1, SGK2 and SGK3 form a distinct sub-family that shares ~80 % amino-acid identity in the catalytic domain. Phylogenetic analyses place this sub-family close to other AGC kinases such as Akt/PKB, PKA and p70-S6K, reflecting common regulatory inputs from PDK1 and mTOR complexes (Daniels, 2010, pp. 31-35; Firestone et al., 2003, pp. 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(Jeyaraj, pp. 27-30)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(Daniels, 2010, pp. 35-39).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SGK1 preferentially phosphorylates substrates that contain the consensus motif R-X-R-X-X-(S/T)-φ, where φ represents a hydrophobic residue. This motif is shared with other AGC kinases and underlies SGK1-mediated phosphorylation of targets that regulate ion channels, transporters and transcription factors, exemplified by the ubiquitin ligase NEDD4L (Daniels, 2010, pp. 35-39; Jang et al., 2022, pp. 13-14).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SGK1 consists of a ~330-residue bilobal kinase catalytic domain flanked by regulatory sequences.</w:t>
      </w:r>
      <w:r>
        <w:br/>
      </w:r>
      <w:r>
        <w:t xml:space="preserve">• N-terminus: variable region harbouring a nuclear-localisation signal and a six-residue ubiquitin-binding motif that influences localisation and degradation (Firestone et al., 2003, pp. 5-6; Maestro et al., 2020, pp. 3-4).</w:t>
      </w:r>
      <w:r>
        <w:br/>
      </w:r>
      <w:r>
        <w:t xml:space="preserve">• Catalytic domain: contains the conserved ATP-binding lysine (equivalent to Lys127 in other kinases), an activation loop (Thr256) phosphorylated by PDK1, and a hydrophobic motif (Ser422) phosphorylated by mTORC2 to stabilise the active conformation (Daniels, 2010, pp. 35-39; Jang et al., 2022, pp. 1-3).</w:t>
      </w:r>
      <w:r>
        <w:br/>
      </w:r>
      <w:r>
        <w:t xml:space="preserve">Overall, the architecture matches the canonical AGC bilobal fold with an N-terminal β-sheet lobe and C-terminal α-helical lobe (Daniels, 2010, pp. 31-35; Jang et al., 2022, p. 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Transcriptional induction by serum, glucocorticoids, mineralocorticoids, cytokines, hyperosmotic stress, high glucose and oxidative stress via receptor response elements in the SGK1 promoter (Firestone et al., 2003, p. 11; Daniels, 2010, pp. 194-196).</w:t>
      </w:r>
      <w:r>
        <w:br/>
      </w:r>
      <w:r>
        <w:t xml:space="preserve">• Post-translational activation through sequential phosphorylation: PDK1 targets Thr256 in the activation loop; mTORC2 phosphorylates Ser422 in the hydrophobic motif. Additional phosphorylation sites (Ser78, Thr369) integrate signals from PKA, MAPK and other pathways (Daniels, 2010, pp. 35-39; Firestone et al., 2003, pp. 9-10; Jang et al., 2022, pp. 1-3, 14-15).</w:t>
      </w:r>
      <w:r>
        <w:br/>
      </w:r>
      <w:r>
        <w:t xml:space="preserve">• Spatial regulation via interaction with scaffold proteins such as NHERF2, positioning SGK1 at the plasma membrane (Lou et al., 2016, pp. 14-15).</w:t>
      </w:r>
      <w:r>
        <w:br/>
      </w:r>
      <w:r>
        <w:t xml:space="preserve">• Protein stability is curtailed by ubiquitination through E3 ligases (e.g., Nedd4-2), conferring a short half-life (Maestro et al., 2020, pp. 7-8).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 in kidney, brain, lung and muscle, SGK1 coordinates numerous physiological processes:</w:t>
      </w:r>
      <w:r>
        <w:br/>
      </w:r>
      <w:r>
        <w:t xml:space="preserve">• Ion and nutrient transport: enhances epithelial Na⁺ reabsorption by phosphorylating NEDD4L, which stabilises ENaC; modulates voltage-gated Na⁺ channels (SCN5A), K⁺ channels (ROMK1, KCNA/KCNQ), Ca²⁺ channels (TRPV5/6), CFTR, Na⁺/K⁺-ATPase, and glucose transporters GLUT1 and SGLT1 (Daniels, 2010, pp. 196-202; Lou et al., 2016, pp. 3-5).</w:t>
      </w:r>
      <w:r>
        <w:br/>
      </w:r>
      <w:r>
        <w:t xml:space="preserve">• Cell survival and proliferation: phosphorylates FOXO1/3 to inhibit pro-apoptotic transcription; phosphorylates MAPT/TAU in neurons, influencing microtubule dynamics and memory consolidation; activates MDM2 to promote p53 degradation, linking SGK1 to cell-cycle and oncogenic pathways (Firestone et al., 2003, pp. 11-12; Lang et al., 2009, pp. 12-13; Daniels, 2010, pp. 199-202).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Several small-molecule ATP-competitive inhibitors have been developed, including GSK650394, EMD638683 and pyrazolopyrazine derivatives. These compounds are being explored for potential use in hypertension, diabetes and cancer (Jang et al., 2022, pp. 14-15; Lang et al., 2009, pp. 6-7; Guerriero et al., 2020, p. 25).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SGK1 dysregulation contributes to hypertension, diabetic nephropathy, fibrosis and cancer. Gain-of-function polymorphisms correlate with elevated blood pressure and sodium retention. Distinct isoforms display different subcellular localisations and effects on ENaC, with isoform 2 exerting a stronger stimulatory influence than isoform 1 (Daniels, 2010, pp. 194-196; Guerriero et al., 2020, pp. 15-17; Lang et al., 2020, pp. 1-3).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Daniels, N. A. (2010). Investigation of the role of novel SGK1 isoforms in regulation of sodium transport in kidney epithelial cells (pp. 31-39, 194-202). [Doctoral dissertation, Unknown Institution].</w:t>
      </w:r>
    </w:p>
    <w:p>
      <w:pPr>
        <w:pStyle w:val="BodyText"/>
      </w:pPr>
      <w:r>
        <w:t xml:space="preserve">Firestone, G., Giampaolo, J., &amp; O’Keeffe, B. (2003). Stimulus-dependent regulation of serum and glucocorticoid inducible protein kinase (SGK) transcription, subcellular localisation and enzymatic activity. Cellular Physiology and Biochemistry, 13, 1-12. https://doi.org/10.1159/000070244</w:t>
      </w:r>
    </w:p>
    <w:p>
      <w:pPr>
        <w:pStyle w:val="BodyText"/>
      </w:pPr>
      <w:r>
        <w:t xml:space="preserve">Guerriero, I., Monaco, G., Coppola, V., &amp; Orlacchio, A. (2020). Serum and glucocorticoid-inducible kinase-1 (SGK1) in NSCLC therapy. Pharmaceuticals, 13, 413. https://doi.org/10.3390/ph13110413</w:t>
      </w:r>
    </w:p>
    <w:p>
      <w:pPr>
        <w:pStyle w:val="BodyText"/>
      </w:pPr>
      <w:r>
        <w:t xml:space="preserve">Jang, H., Park, Y., &amp; Jang, J. (2022). Serum and glucocorticoid-regulated kinase-1: structure, biological functions, and its inhibitors. Frontiers in Pharmacology. https://doi.org/10.3389/fphar.2022.1036844</w:t>
      </w:r>
    </w:p>
    <w:p>
      <w:pPr>
        <w:pStyle w:val="BodyText"/>
      </w:pPr>
      <w:r>
        <w:t xml:space="preserve">Jeyaraj, S. (n.d.). Die Rolle der serum- und glukokortikoid-induzierbaren Kinase SGK1 in der Regulation des Glukosetransports (pp. 27-30).</w:t>
      </w:r>
    </w:p>
    <w:p>
      <w:pPr>
        <w:pStyle w:val="BodyText"/>
      </w:pPr>
      <w:r>
        <w:t xml:space="preserve">Lang, F., Görlach, A., &amp; Vallon, V. (2009). Targeting SGK1 in diabetes. Expert Opinion on Therapeutic Targets, 13, 1303-1311. https://doi.org/10.1517/14728220903260807</w:t>
      </w:r>
    </w:p>
    <w:p>
      <w:pPr>
        <w:pStyle w:val="BodyText"/>
      </w:pPr>
      <w:r>
        <w:t xml:space="preserve">Lang, F., Artunc, F., &amp; Vallon, V. (2009). The physiological impact of the serum and glucocorticoid-inducible kinase SGK1. Current Opinion in Nephrology and Hypertension, 18, 439-448. https://doi.org/10.1097/MNH.0b013e32832f125e</w:t>
      </w:r>
    </w:p>
    <w:p>
      <w:pPr>
        <w:pStyle w:val="BodyText"/>
      </w:pPr>
      <w:r>
        <w:t xml:space="preserve">Lang, F., Rajaxavier, J., Singh, Y., Brucker, S. Y., &amp; Salker, M. S. (2020). The enigmatic role of serum &amp; glucocorticoid-inducible kinase-1 in the endometrium. Frontiers in Cell and Developmental Biology. https://doi.org/10.3389/fcell.2020.556543</w:t>
      </w:r>
    </w:p>
    <w:p>
      <w:pPr>
        <w:pStyle w:val="BodyText"/>
      </w:pPr>
      <w:r>
        <w:t xml:space="preserve">Lou, Y., Zhang, F., Luo, Y., Wang, L., Huang, S., &amp; Jin, F. (2016). Serum and glucocorticoid regulated kinase-1 in sodium homeostasis. International Journal of Molecular Sciences, 17, 1307. https://doi.org/10.3390/ijms17081307</w:t>
      </w:r>
    </w:p>
    <w:p>
      <w:pPr>
        <w:pStyle w:val="BodyText"/>
      </w:pPr>
      <w:r>
        <w:t xml:space="preserve">Maestro, I., Boya, P., &amp; Martinez, A. (2020). Serum- and glucocorticoid-induced kinase-1, a new therapeutic target for autophagy modulation in chronic diseases. Expert Opinion on Therapeutic Targets, 24, 231-243. https://doi.org/10.1080/14728222.2020.1730328</w:t>
      </w:r>
    </w:p>
    <w:p>
      <w:pPr>
        <w:pStyle w:val="BodyText"/>
      </w:pPr>
      <w:r>
        <w:t xml:space="preserve">Mohammad, T., Siddiqui, S., Shamsi, A., Alajmi, M. F., Hussain, A., Islam, A., Ahmad, F., &amp; Hassan, M. I. (2020). Virtual screening to identify high-affinity inhibitors of serum and glucocorticoid-regulated kinase-1 among bioactive natural products. Molecules, 25, 823. https://doi.org/10.3390/molecules25040823</w:t>
      </w:r>
    </w:p>
    <w:p>
      <w:pPr>
        <w:pStyle w:val="BodyText"/>
      </w:pPr>
      <w:r>
        <w:t xml:space="preserve">(Additional page citations cited in-text originate from the works above.)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2025-06-25T19:01:49Z</dcterms:created>
  <dcterms:modified xsi:type="dcterms:W3CDTF">2025-06-25T19:01:49Z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