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2.7.11.– (protein‐serine/threonine kinases)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Serine/threonine-protein kinase DCLK1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Doublecortin-like kinase 1; DCAMKL1; DCDC3A; KIAA0369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DCLK1 is a member of the serine/threonine kinase superfamily that combines two N-terminal doublecortin (DCX) microtubule-binding domains with a C-terminal CaMK-related catalytic module (Burgess &amp; Reiner, 2001; Burgess &amp; Reiner, 2002; Ohmae et al., 2006). The DCX domains are evolutionarily conserved across vertebrates, while the kinase domain shares ~45 % sequence identity with CaMKI/IV family members, positioning DCLK1 as an intermediate within the CaMK clade (Burgess &amp; Reiner, 2002; Ohmae et al., 2006). Orthologues are widespread in mammals, and alternative splicing generates multiple isoforms that fine-tune cytoskeletal binding and kinase activity in tissue- and stage-specific contexts (Burgess &amp; Reiner, 2002; Reiner et al., 2006; Venkat et al., 2023).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(Patel et al., 2016; Venkat et al., 2023)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coordination of ATP and efficient phosphotransfer (Patel et al., 2016).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 studies indicate a preference for basic residues, especially Arg at the −3/−2 positions relative to the target Ser/Thr, which enhance phosphorylation efficiency (Burgess &amp; Reiner, 2002; Ramkumar et al., 2018). A definitive consensus motif has not yet been established.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DCLK1 consists of tandem DCX domains that adopt β-grasp folds for tubulin binding, a bilobal kinase domain containing conserved G-loop, HRD, and DFG motifs, and an intrinsically disordered C-terminal tail (Burgess &amp; Reiner, 2001; Patel et al., 2016; Shang et al., 2003). Docking of the phosphorylated C-tail against the catalytic core stabilises the hydrophobic spine and occludes the ATP site, providing an autoinhibitory mechanism (Rogers et al., 2020; Venkat et al., 2023).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Compact"/>
        <w:numPr>
          <w:ilvl w:val="0"/>
          <w:numId w:val="1001"/>
        </w:numPr>
      </w:pPr>
      <w:r>
        <w:t xml:space="preserve">Autophosphorylation of specific Ser/Thr residues—particularly within the C-tail—promotes tail docking and autoinhibition of kinase activity (Rogers et al., 2020).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Phosphorylation of residues inside the DCX domains reduces microtubule binding (Rogers et al., 2020).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Alternative splicing alters DCX copy number and C-tail length, modulating ATP affinity and catalytic turnover among isoforms (Burgess &amp; Reiner, 2002; Rogers et al., 2021).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Neuronal development: DCX domains stabilise microtubules to support neuronal migration, axon guidance, and dendritic patterning, while kinase activity further modulates cytoskeletal dynamics (Burgess &amp; Reiner, 2001; Ohmae et al., 2006; Ramkumar et al., 2018).</w:t>
      </w:r>
      <w:r>
        <w:br/>
      </w:r>
      <w:r>
        <w:t xml:space="preserve">• Mature neurons: contributes to dendritic architecture and synaptic plasticity (Chhetri et al., 2022).</w:t>
      </w:r>
      <w:r>
        <w:br/>
      </w:r>
      <w:r>
        <w:t xml:space="preserve">• Cancer biology: over-expression or aberrant splicing of DCLK1 isoforms correlates with enhanced tumor cell migration, invasion, and cancer stem-cell properties (Burgess &amp; Reiner, 2002; Chhetri et al., 2022).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Structure-guided efforts are underway to design small-molecule ATP-competitive inhibitors and compounds that disrupt C-tail docking, but no specific inhibitors are detailed in the cited literature (Venkat et al., 2023).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DCLK1 lacks a canonical calmodulin-binding region found in related CaMKI/IV kinases; consequently, autophosphorylation and C-tail docking dominate its regulatory landscape (Rogers et al., 2020; Rogers et al., 2021). The protein’s dual microtubule-binding and kinase activities, together with its cancer associations, make isoform-selective inhibition an active therapeutic research goal (Venkat et al., 2023; Carli et al., 2023).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Burgess, H. A., &amp; Reiner, O. (2001). Cleavage of doublecortin-like kinase by calpain releases an active kinase fragment from a microtubule anchorage domain. The Journal of Biological Chemistry, 276, 36397–36403. https://doi.org/10.1074/jbc.M105153200</w:t>
      </w:r>
    </w:p>
    <w:p>
      <w:pPr>
        <w:pStyle w:val="BodyText"/>
      </w:pPr>
      <w:r>
        <w:t xml:space="preserve">Burgess, H. A., &amp; Reiner, O. (2002). Alternative splice variants of doublecortin-like kinase are differentially expressed and have different kinase activities. The Journal of Biological Chemistry, 277, 17696–17705. https://doi.org/10.1074/jbc.M111981200</w:t>
      </w:r>
    </w:p>
    <w:p>
      <w:pPr>
        <w:pStyle w:val="BodyText"/>
      </w:pPr>
      <w:r>
        <w:t xml:space="preserve">Carli, A. L. E., Hardy, J. M., Hoblos, H., Ernst, M., Lucet, I. S., &amp; Buchert, M. (2023). Structure-guided prediction of the functional impact of DCLK1 mutations on tumorigenesis. Biomedicines, 11, 990. https://doi.org/10.3390/biomedicines11030990</w:t>
      </w:r>
    </w:p>
    <w:p>
      <w:pPr>
        <w:pStyle w:val="BodyText"/>
      </w:pPr>
      <w:r>
        <w:t xml:space="preserve">Chhetri, D., Vengadassalapathy, S., Venkadassalapathy, S., Balachandran, V., Umapathy, V. R., Veeraraghavan, V. P., … Gnanasampanthapandian, D. (2022). Pleiotropic effects of DCLK1 in cancer and cancer stem cells. Frontiers in Molecular Biosciences. https://doi.org/10.3389/fmolb.2022.965730</w:t>
      </w:r>
    </w:p>
    <w:p>
      <w:pPr>
        <w:pStyle w:val="BodyText"/>
      </w:pPr>
      <w:r>
        <w:t xml:space="preserve">Ohmae, S., Takemoto-Kimura, S., Okamura, M., Adachi-Morishima, A., Nonaka, M., Fuse, T., … Bito, H. (2006). Molecular identification and characterization of a family of kinases with homology to Ca²⁺/calmodulin-dependent protein kinases I/IV. The Journal of Biological Chemistry, 281, 20427–20439. https://doi.org/10.1074/jbc.M513212200</w:t>
      </w:r>
    </w:p>
    <w:p>
      <w:pPr>
        <w:pStyle w:val="BodyText"/>
      </w:pPr>
      <w:r>
        <w:t xml:space="preserve">Patel, O., Dai, W., Mentzel, M., Griffin, M. D. W., Serindoux, J., Gay, Y., … Lucet, I. S. (2016). Biochemical and structural insights into doublecortin-like kinase domain 1. Structure, 24, 1550–1561. https://doi.org/10.1016/j.str.2016.07.008</w:t>
      </w:r>
    </w:p>
    <w:p>
      <w:pPr>
        <w:pStyle w:val="BodyText"/>
      </w:pPr>
      <w:r>
        <w:t xml:space="preserve">Ramkumar, A., Jong, B. Y., &amp; Ori-McKenney, K. M. (2018). Remapping the microtubule landscape: How phosphorylation dictates the activities of microtubule-associated proteins. Developmental Dynamics. https://doi.org/10.1002/dvdy.24599</w:t>
      </w:r>
    </w:p>
    <w:p>
      <w:pPr>
        <w:pStyle w:val="BodyText"/>
      </w:pPr>
      <w:r>
        <w:t xml:space="preserve">Reiner, O., Coquelle, F. M., Peter, B., Levy, T., Kaplan, A., Sapir, T., … Bergmann, S. (2006). The evolving doublecortin (DCX) superfamily. BMC Genomics, 7, 188. https://doi.org/10.1186/1471-2164-7-188</w:t>
      </w:r>
    </w:p>
    <w:p>
      <w:pPr>
        <w:pStyle w:val="BodyText"/>
      </w:pPr>
      <w:r>
        <w:t xml:space="preserve">Rogers, M. M., Ramkumar, A., Downing, A. M., Bodin, H., Castro, J., Nowakowski, D. W., &amp; Ori-McKenney, K. M. (2020). Autoregulatory control of microtubule binding in the oncogene, doublecortin-like kinase 1. bioRxiv. https://doi.org/10.1101/2020.06.12.149252</w:t>
      </w:r>
    </w:p>
    <w:p>
      <w:pPr>
        <w:pStyle w:val="BodyText"/>
      </w:pPr>
      <w:r>
        <w:t xml:space="preserve">Rogers, M., Tan, T., Ramkumar, A., Downing, A., Bodin, H., Castro, J., … Ori-McKenney, K. M. (2021). Autoregulatory control of microtubule binding in doublecortin-like kinase 1. Biophysical Journal, 120, 12a. https://doi.org/10.1016/j.bpj.2020.11.336</w:t>
      </w:r>
    </w:p>
    <w:p>
      <w:pPr>
        <w:pStyle w:val="BodyText"/>
      </w:pPr>
      <w:r>
        <w:t xml:space="preserve">Shang, L., Kwon, Y.-G., Nandy, S., Lawrence, D. S., &amp; Edelman, A. M. (2003). Catalytic and regulatory domains of doublecortin kinase-1. Biochemistry, 42, 2185–2194. https://doi.org/10.1021/bi026913i</w:t>
      </w:r>
    </w:p>
    <w:p>
      <w:pPr>
        <w:pStyle w:val="BodyText"/>
      </w:pPr>
      <w:r>
        <w:t xml:space="preserve">Venkat, A., Watterson, G., Byrne, D. P., O’Boyle, B., Shrestha, S., Gravel, N., … Kannan, N. (2023). Mechanistic and evolutionary insights into isoform-specific ‘supercharging’ in DCLK family kinases. bioRxiv. https://doi.org/10.7554/eLife.87958.1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2025-06-25T18:42:43Z</dcterms:created>
  <dcterms:modified xsi:type="dcterms:W3CDTF">2025-06-25T18:42:43Z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