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DCLK2 (also called DCAMKL2, DCDC3B or DCK2) is a member of the doublecortin (DCX) family of serine/threonine kinases. Family members (DCLK1, DCLK2, DCLK3) share tandem DCX microtubule-binding domains fused to a CaMK-like kinase domain and are broadly conserved across vertebrates, with ancestry traceable to metazoan kinases (Reiner et al., 2006; Hu et al., 2024).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(Hu et al., 2024).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catalytic activity; Ca²⁺/calmodulin dependence is greatly reduced compared with canonical CaMKs (Hu et al., 2024).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kinase selectively phosphorylates TANK-binding kinase 1 (TBK1) on Ser172, a site essential for TBK1 activation. DCLK2 does not phosphorylate the related kinase IKKε at the equivalent site. Down-stream, activated TBK1 mediates phosphorylation of p62 on Ser366, highlighting a narrow substrate spectrum centred on the TBK1 pathway (Hu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N-terminal tandem DCX domains – mediate microtubule binding and stabilization (Reiner et al., 2006).</w:t>
      </w:r>
      <w:r>
        <w:br/>
      </w:r>
      <w:r>
        <w:t xml:space="preserve">• C-terminal serine/threonine kinase domain – canonical CaMK fold. Lys423 is critical for ATP binding; K423A mutation abolishes activity (Hu et al., 2024).</w:t>
      </w:r>
      <w:r>
        <w:br/>
      </w:r>
      <w:r>
        <w:t xml:space="preserve">• Isoforms: the predominant cancer-associated isoform DCLK2^203 lacks an auto-inhibitory C-terminal Thr present in DCLK2^201, resulting in higher activity (Hu et al., 2024).</w:t>
      </w:r>
      <w:r>
        <w:br/>
      </w:r>
      <w:r>
        <w:t xml:space="preserve">Overall, the protein is modular, Ca²⁺/calmodulin-independent, and subject to isoform-specific structural regulation.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Compact"/>
        <w:numPr>
          <w:ilvl w:val="0"/>
          <w:numId w:val="1001"/>
        </w:numPr>
      </w:pPr>
      <w:r>
        <w:t xml:space="preserve">Alternative splicing – removal of the C-terminal auto-inhibitory Thr in DCLK2^203 confers elevated kinase activity (Hu et al., 2024).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Point mutation – K423A renders the enzyme catalytically inactive, blocking TBK1 phosphorylation and oncogenic functions (Hu et al., 2024).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Post-transcriptional control – reduced nonsense-mediated decay (e.g., lower UPF1) increases expression of the hyper-active isoform in clear cell renal cell carcinoma (Hu et al.,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In clear cell renal cell carcinoma (ccRCC), DCLK2 is an oncogenic serine/threonine kinase that activates TBK1 (Ser172), leading to TBK1-dependent phosphorylation of p62 (Ser366) and promoting tumour cell growth, anchorage-independent colony formation and xenograft tumour progression. Its action is largely Ca²⁺/calmodulin-independent and is driven by elevated expression of the hyper-active DCLK2^203 isoform (Hu et al.,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DCLK1-IN-1, originally developed for DCLK1, potently inhibits DCLK2 and serves as a selective chemical probe for the doublecortin-like kinase family (Ferguson et al.,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Family members, including DCLK2, participate in microtubule regulation and neuronal development, but the current experimental evidence emphasises its TBK1-centred oncogenic role in ccRCC. Selective inhibitors and isoform-specific regulation highlight therapeutic potential (Hu et al., 2024; Ferguson et al., 2020).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Burgess, H. A., &amp; Reiner, O. (2002). Alternative splice variants of doublecortin-like kinase are differentially expressed and have different kinase activities. The Journal of Biological Chemistry, 277, 17696–17705. https://doi.org/10.1074/jbc.M111981200</w:t>
      </w:r>
    </w:p>
    <w:p>
      <w:pPr>
        <w:pStyle w:val="BodyText"/>
      </w:pPr>
      <w:r>
        <w:t xml:space="preserve">Ferguson, F., Nabet, B., Raghavan, S., Liu, Y., Leggett, A. L., Kuljanin, M., … Gray, N. (2020). Discovery of a selective inhibitor of doublecortin like kinase 1. Nature Chemical Biology, 16, 635–643. https://doi.org/10.1038/s41589-020-0506-0</w:t>
      </w:r>
    </w:p>
    <w:p>
      <w:pPr>
        <w:pStyle w:val="BodyText"/>
      </w:pPr>
      <w:r>
        <w:t xml:space="preserve">Hu, L., Zhang, Y., Guo, L., Zhong, H., Xie, L., Zhou, J., … Zhang, Q. (2024). Kinome-wide siRNA screen identifies a DCLK2–TBK1 oncogenic signaling axis in clear cell renal cell carcinoma. Molecular Cell, 84, 776–790.e5. https://doi.org/10.1016/j.molcel.2023.12.010</w:t>
      </w:r>
    </w:p>
    <w:p>
      <w:pPr>
        <w:pStyle w:val="BodyText"/>
      </w:pPr>
      <w:r>
        <w:t xml:space="preserve">Reiner, O., Coquelle, F. M., Peter, B., Levy, T., Kaplan, A., Sapir, T., … Bergmann, S. (2006). The evolving doublecortin (DCX) superfamily. BMC Genomics, 7, 188. https://doi.org/10.1186/1471-2164-7-188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2025-06-25T18:55:55Z</dcterms:created>
  <dcterms:modified xsi:type="dcterms:W3CDTF">2025-06-25T18:55:55Z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