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ABL1 (c-Abl) is one of two ubiquitously expressed Abl family kinases in mammals (the other is ABL2/Arg). A single ortholog functions in Drosophila, illustrating conservation of Abl kinases throughout metazoans (Hantschel, 2012; Rogers et al., 2020). Phylogenetic analyses place ABL1 within the tyrosine kinase group alongside Src-related families, indicating an origin early in eukaryotic evolution (Superti-Furga &amp; Courtneidge, 1995).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protein-(L-tyrosine) ⇌ ADP + protein-(L-tyrosine)-phosphate + H⁺ (Roskoski, 2003)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coordination and catalysis (Roskoski, 2003).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ABL1 phosphorylates tyrosine residues on diverse targets that regulate the actin cytoskeleton, receptor endocytosis, and DNA damage responses. Substrate recognition is refined by its SH3 domain, which binds proline-rich motifs, and its SH2 domain, which engages phosphotyrosine sequences, promoting multisite phosphorylation. Reported substrates include WASF3, CBL, CRK/CRKL, EGFR and RIN1 (Hantschel, 2012; Roskoski, 2003; Tse &amp; Verkhivker, 2015).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ABL1 displays a modular architecture: N-terminal myristoylation signal and cap, contiguous SH3 and SH2 domains, the bilobed kinase (SH1) domain, and an intrinsically disordered, proline-rich C-terminal tail (Hantschel, 2012; Rogers et al., 2021). Autoinhibition is achieved when the myristoyl group docks into a hydrophobic pocket of the kinase C-lobe and the SH3 domain binds the SH2-kinase linker, locking the enzyme in an inactive conformation (Hantschel, 2012). The activation loop within the kinase domain contains Tyr412, whose autophosphorylation switches the enzyme to an active state. The C-terminal disordered region mediates additional protein-protein interactions and influences stability and localization (Rogers et al., 2020; Kornev &amp; Taylor, 2015).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1"/>
        </w:numPr>
      </w:pPr>
      <w:r>
        <w:t xml:space="preserve">Autoinhibition via myristoyl/SH3-linker interactions maintains the inactive state (Hantschel, 2012).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Activating autophosphorylation on Tyr412 (activation loop) and Tyr245 (SH2-kinase linker) disrupts inhibitory contacts and promotes activity (Hantschel, 2012; Roskoski, 2003).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Ubiquitination by CBL family ligases targets ABL1 for degradation under stress (Rogers et al., 2021).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Allosteric and ATP-competitive inhibitors bias the conformational equilibrium (Roskoski, 2003; Tse &amp; Verkhivker, 2015).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Nuclear localization and export signals mediate shuttling; nuclear ABL1 participates in DNA repair and apoptosis, whereas cytoplasmic ABL1 regulates cytoskeletal remodeling and endocytosis (Hantschel, 2012).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ABL1 acts as a versatile signaling hub:</w:t>
      </w:r>
      <w:r>
        <w:br/>
      </w:r>
      <w:r>
        <w:t xml:space="preserve">• Cytoskeleton – phosphorylates WASF3, CRK/CRKL and other regulators to drive lamellipodia formation and cell migration (Hantschel, 2012).</w:t>
      </w:r>
      <w:r>
        <w:br/>
      </w:r>
      <w:r>
        <w:t xml:space="preserve">• Receptor endocytosis – modulates EGFR internalization via phosphorylation of CBL and RIN1 (Lund, 2013; Hantschel, 2012).</w:t>
      </w:r>
      <w:r>
        <w:br/>
      </w:r>
      <w:r>
        <w:t xml:space="preserve">• DNA damage response – interacts with DDB1/2, RAD51 and TP73, balancing repair and apoptosis in the nucleus (Hantschel, 2012).</w:t>
      </w:r>
      <w:r>
        <w:br/>
      </w:r>
      <w:r>
        <w:t xml:space="preserve">• Autophagy – influences lysosomal trafficking during late autophagy (information in Nomenclature).</w:t>
      </w:r>
      <w:r>
        <w:br/>
      </w:r>
      <w:r>
        <w:t xml:space="preserve">• Oxidative stress – translocates to mitochondria to phosphorylate PRKD2, promoting cell death (Rogers et al., 2021).</w:t>
      </w:r>
      <w:r>
        <w:br/>
      </w:r>
      <w:r>
        <w:t xml:space="preserve">• Host–pathogen interactions – phosphorylates viral and bacterial proteins (e.g., Vaccinia A36R, H. pylori CagA) to remodel host actin (information in Nomenclature).</w:t>
      </w:r>
      <w:r>
        <w:br/>
      </w:r>
      <w:r>
        <w:t xml:space="preserve">ABL1 is ubiquitously expressed in mammalian tissues (Hantschel, 2012).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Clinically used ATP-competitive inhibitors include imatinib (binds inactive DFG-out conformation), dasatinib, nilotinib and ponatinib; they are central to chronic myelogenous leukemia therapy and to overcoming resistance mutations such as T315I (Roskoski, 2003; Hantschel, 2012; Wong &amp; Witte, 2004). Allosteric inhibitors targeting the myristate pocket illustrate alternative therapeutic strategies (Tse &amp; Verkhivker, 2015).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Oncogenic BCR-ABL fusions delete autoinhibitory regions, yielding constitutive kinase activity that drives leukemogenesis. Kinase-domain mutations can confer drug resistance. Insights from ABL1 structure and regulation underpin modern kinase-inhibitor design paradigms (Wong &amp; Witte, 2004; Roskoski, 2003).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Hantschel, O. (2012). Structure, regulation, signaling, and targeting of Abl kinases in cancer. Genes &amp; Cancer, 3, 436–446. https://doi.org/10.1177/1947601912458584</w:t>
      </w:r>
    </w:p>
    <w:p>
      <w:pPr>
        <w:pStyle w:val="BodyText"/>
      </w:pPr>
      <w:r>
        <w:t xml:space="preserve">Kornev, A. P., &amp; Taylor, S. S. (2015). Dynamics-driven allostery in protein kinases. Trends in Biochemical Sciences, 40, 628–647. https://doi.org/10.1016/j.tibs.2015.09.002</w:t>
      </w:r>
    </w:p>
    <w:p>
      <w:pPr>
        <w:pStyle w:val="BodyText"/>
      </w:pPr>
      <w:r>
        <w:t xml:space="preserve">Lund, B. A. (2013). Biotech applications of protein kinase affinity interactions. [Journal unidentified].</w:t>
      </w:r>
    </w:p>
    <w:p>
      <w:pPr>
        <w:pStyle w:val="BodyText"/>
      </w:pPr>
      <w:r>
        <w:t xml:space="preserve">Rogers, E. M., Allred, S. C., &amp; Peifer, M. (2020). Abelson kinase’s intrinsically disordered linker plays important roles in protein function and protein stability. bioRxiv. https://doi.org/10.1101/2020.05.20.106708</w:t>
      </w:r>
    </w:p>
    <w:p>
      <w:pPr>
        <w:pStyle w:val="BodyText"/>
      </w:pPr>
      <w:r>
        <w:t xml:space="preserve">Rogers, E. M., Allred, S. C., &amp; Peifer, M. (2021). Abelson kinase’s intrinsically disordered region plays essential roles in protein function and protein stability. Cell Communication and Signaling, 19, 1–29. https://doi.org/10.1186/s12964-020-00703-w</w:t>
      </w:r>
    </w:p>
    <w:p>
      <w:pPr>
        <w:pStyle w:val="BodyText"/>
      </w:pPr>
      <w:r>
        <w:t xml:space="preserve">Roskoski, R. (2003). STI-571: An anticancer protein-tyrosine kinase inhibitor. Biochemical and Biophysical Research Communications, 309, 709–717. https://doi.org/10.1016/j.bbrc.2003.08.055</w:t>
      </w:r>
    </w:p>
    <w:p>
      <w:pPr>
        <w:pStyle w:val="BodyText"/>
      </w:pPr>
      <w:r>
        <w:t xml:space="preserve">Superti-Furga, G., &amp; Courtneidge, S. A. (1995). Structure-function relationships in Src family and related protein tyrosine kinases. BioEssays, 17, 321–330. https://doi.org/10.1002/bies.950170408</w:t>
      </w:r>
    </w:p>
    <w:p>
      <w:pPr>
        <w:pStyle w:val="BodyText"/>
      </w:pPr>
      <w:r>
        <w:t xml:space="preserve">Tse, A., &amp; Verkhivker, G. M. (2015). Molecular determinants underlying binding specificities of the Abl kinase inhibitors. PLOS ONE, 10, e0130203. https://doi.org/10.1371/journal.pone.0130203</w:t>
      </w:r>
    </w:p>
    <w:p>
      <w:pPr>
        <w:pStyle w:val="BodyText"/>
      </w:pPr>
      <w:r>
        <w:t xml:space="preserve">Wong, S., &amp; Witte, O. N. (2004). The BCR-ABL story: Bench to bedside and back. Annual Review of Immunology, 22, 247–306. https://doi.org/10.1146/annurev.immunol.22.012703.104753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2025-06-25T18:25:30Z</dcterms:created>
  <dcterms:modified xsi:type="dcterms:W3CDTF">2025-06-25T18:25:30Z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