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Mitogen-activated protein kinase 13 (MAPK13; p38δ/SAPK4) is one of four members of the p38 MAPK sub-family (p38α /MAPK14, p38β /MAPK11, p38γ /MAPK12, p38δ /MAPK13). The four p38 isoforms form a distinct branch of the eukaryotic protein kinase super-family that emerged early in eukaryotic evolution and is conserved in mammals (Arbabi &amp; Maier, 2002; Kyriakis &amp; Avruch, 2001). MAPK13 shares ~60 % overall amino-acid identity with p38α/β and is more divergent from p38γ (Cerezo-Guisado &amp; Cuenda, 2011). Conservation centres on the catalytic domain and activation-loop motif, reflecting their common role in stress-activated signalling (Pearson et al., 2001).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(Johnson &amp; Lapadat, 2002).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essential for ATP binding and catalysis (Zarubin &amp; Han, 2005; Roux &amp; Blenis, 2004).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MAPK13 phosphorylates Ser/Thr residues in 200–300 cellular proteins. Documented substrates include transcription factors ELK1 and ATF2, the downstream kinase MAPKAPK2, translation regulator EEF2K, and cytoskeletal proteins MAPT (tau) and STMN1 (stathmin) (Cerezo-Guisado &amp; Cuenda, 2011; Arbabi &amp; Maier, 2002). Although a unique consensus motif has not been fully defined, its preference aligns with motifs recognised by other p38 isoforms.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MAPK13 is a 365-residue, ~40 kDa serine/threonine kinase that adopts the canonical bilobal protein kinase fold (Tibbles &amp; Woodgett, 1999). The activation loop contains the conserved Thr-Gly-Tyr (TGY) motif; dual phosphorylation of Thr180 and Tyr182 is required for full activity (Cerezo-Guisado &amp; Cuenda, 2011; Zarubin &amp; Han, 2005). The N-terminal C-helix contributes to the hydrophobic spine, and docking sites on the kinase surface mediate interaction with upstream MKK3/MKK6 and substrates (Roux &amp; Blenis, 2004). No additional domains beyond the catalytic core have been reported; isoform-specific surface variations influence substrate and inhibitor binding (Cerezo-Guisado &amp; Cuenda,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Activation is achieved by MKK3- or MKK6-mediated dual phosphorylation of the TGY motif. Cell-type–dependent preference for MKK3 versus MKK6 has been noted (Cerezo-Guisado &amp; Cuenda, 2011; Zarubin &amp; Han, 2005). Feedback control by downstream kinases (e.g., MAPKAPK2) and dephosphorylation by protein phosphatases ensure transient activation (Dodeller &amp; Schulze-Koops, 2006; Kyriakis &amp; Avruch, 2001). Compared with p38α/β, MAPK13 displays distinct sensitivity to small-molecule inhibitors, suggesting unique conformational regulation of the ATP-binding site (Zarubin &amp; Han, 2005; Pearson et al., 2001).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MAPK13 integrates stress and inflammatory signals to modulate transcription, translation, cytoskeletal dynamics and metabolic processes.</w:t>
      </w:r>
      <w:r>
        <w:br/>
      </w:r>
      <w:r>
        <w:t xml:space="preserve">• Expression: widely detected in testes, pancreas, kidney and small intestine; localises to cytoplasm and nucleus (Cerezo-Guisado &amp; Cuenda, 2011).</w:t>
      </w:r>
      <w:r>
        <w:br/>
      </w:r>
      <w:r>
        <w:t xml:space="preserve">• Upstream kinases: MKK3 and MKK6.</w:t>
      </w:r>
      <w:r>
        <w:br/>
      </w:r>
      <w:r>
        <w:t xml:space="preserve">• Downstream substrates/partners: ELK1, ATF2, MAPKAPK2, EEF2K, MAPT, STMN1 (Cerezo-Guisado &amp; Cuenda, 2011; Arbabi &amp; Maier, 2002).</w:t>
      </w:r>
      <w:r>
        <w:br/>
      </w:r>
      <w:r>
        <w:t xml:space="preserve">• Signalling roles:</w:t>
      </w:r>
      <w:r>
        <w:br/>
      </w:r>
      <w:r>
        <w:t xml:space="preserve"> – Transcriptional activation of inflammatory and stress-response genes (Cerezo-Guisado &amp; Cuenda, 2011).</w:t>
      </w:r>
      <w:r>
        <w:br/>
      </w:r>
      <w:r>
        <w:t xml:space="preserve"> – Control of protein synthesis via EEF2K inhibition (Cerezo-Guisado &amp; Cuenda, 2011).</w:t>
      </w:r>
      <w:r>
        <w:br/>
      </w:r>
      <w:r>
        <w:t xml:space="preserve"> – Cytoskeletal remodelling through phosphorylation of tau and stathmin (Arbabi &amp; Maier, 2002).</w:t>
      </w:r>
      <w:r>
        <w:br/>
      </w:r>
      <w:r>
        <w:t xml:space="preserve"> – Regulation of keratinocyte differentiation, UV-induced gene expression and skin tumour development (Bachstetter, 2010; Cerezo-Guisado &amp; Cuenda, 2011).</w:t>
      </w:r>
      <w:r>
        <w:br/>
      </w:r>
      <w:r>
        <w:t xml:space="preserve"> – Modulation of insulin secretion in pancreatic β-cells via PRKD1 down-regulation (Cerezo-Guisado &amp; Cuenda, 2011).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Classic pyridinyl-imidazole inhibitors (e.g., SB203580) that potently block p38α/β show poor efficacy toward MAPK13, indicating isoform-specific structural differences in the ATP pocket (Zarubin &amp; Han, 2005; Pearson et al., 2001).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Altered MAPK13 activity is associated with inflammatory disorders, psoriasis, skin tumorigenesis, metabolic dysfunction linked to impaired insulin secretion, cancer and neurodegenerative diseases involving tau/stathmin regulation (Cerezo-Guisado &amp; Cuenda, 2011; Bachstetter, 2010; Dodeller &amp; Schulze-Koops, 2006).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Arbabi, S., &amp; Maier, R. V. (2002). Mitogen-activated protein kinases. Critical Care Medicine, 30, S74–S79. https://doi.org/10.1097/00003246-200201001-00010</w:t>
      </w:r>
    </w:p>
    <w:p>
      <w:pPr>
        <w:pStyle w:val="BodyText"/>
      </w:pPr>
      <w:r>
        <w:t xml:space="preserve">Bachstetter, A. D. (2010). The p38 MAP kinase family as regulators of pro-inflammatory cytokine production in degenerative diseases of the CNS.</w:t>
      </w:r>
    </w:p>
    <w:p>
      <w:pPr>
        <w:pStyle w:val="BodyText"/>
      </w:pPr>
      <w:r>
        <w:t xml:space="preserve">Cerezo-Guisado, M. I., &amp; Cuenda, A. (2011). MAPK13 (mitogen-activated protein kinase 13). Atlas of Genetics and Cytogenetics in Oncology and Haematology. https://doi.org/10.4267/2042/44858</w:t>
      </w:r>
    </w:p>
    <w:p>
      <w:pPr>
        <w:pStyle w:val="BodyText"/>
      </w:pPr>
      <w:r>
        <w:t xml:space="preserve">Dodeller, F., &amp; Schulze-Koops, H. (2006). The p38 mitogen-activated protein kinase signalling cascade in CD4 T cells. Arthritis Research &amp; Therapy, 8, 205. https://doi.org/10.1186/ar1905</w:t>
      </w:r>
    </w:p>
    <w:p>
      <w:pPr>
        <w:pStyle w:val="BodyText"/>
      </w:pPr>
      <w:r>
        <w:t xml:space="preserve">Johnson, G. L., &amp; Lapadat, R. (2002). Mitogen-activated protein kinase pathways mediated by ERK, JNK, and p38 protein kinases. Science, 298, 1911–1912. https://doi.org/10.1126/science.1072682</w:t>
      </w:r>
    </w:p>
    <w:p>
      <w:pPr>
        <w:pStyle w:val="BodyText"/>
      </w:pPr>
      <w:r>
        <w:t xml:space="preserve">Kyriakis, J. M., &amp; Avruch, J. (2001). Mammalian mitogen-activated protein kinase signal transduction pathways activated by stress and inflammation. Physiological Reviews, 81, 807–869. https://doi.org/10.1152/physrev.2001.81.2.807</w:t>
      </w:r>
    </w:p>
    <w:p>
      <w:pPr>
        <w:pStyle w:val="BodyText"/>
      </w:pPr>
      <w:r>
        <w:t xml:space="preserve">Pearson, G., Robinson, F. L., Gibson, T., Xu, B.-e., Karandikar, M., Berman, K., &amp; Cobb, M. (2001). Mitogen-activated protein (MAP) kinase pathways: Regulation and physiological functions. Endocrine Reviews, 22, 153–183. https://doi.org/10.1210/er.22.2.153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p>
      <w:pPr>
        <w:pStyle w:val="BodyText"/>
      </w:pPr>
      <w:r>
        <w:t xml:space="preserve">Tibbles, L. A., &amp; Woodgett, J. R. (1999). The stress-activated protein kinase pathways. Cellular and Molecular Life Sciences, 55, 1230–1254. https://doi.org/10.1007/s000180050369</w:t>
      </w:r>
    </w:p>
    <w:p>
      <w:pPr>
        <w:pStyle w:val="BodyText"/>
      </w:pPr>
      <w:r>
        <w:t xml:space="preserve">Zarubin, T., &amp; Han, J. (2005). Activation and signalling of the p38 MAP kinase pathway. Cell Research, 15, 11–18. https://doi.org/10.1038/sj.cr.7290257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2025-06-25T18:13:15Z</dcterms:created>
  <dcterms:modified xsi:type="dcterms:W3CDTF">2025-06-25T18:13:15Z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