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oposed-ecsub-subclass"/>
    <w:p>
      <w:pPr>
        <w:pStyle w:val="Heading2"/>
      </w:pPr>
      <w:r>
        <w:t xml:space="preserve">Proposed EC/sub-subclass:</w:t>
      </w:r>
    </w:p>
    <w:p>
      <w:pPr>
        <w:pStyle w:val="FirstParagraph"/>
      </w:pPr>
      <w:r>
        <w:t xml:space="preserve">Not yet assigned (Ser/Thr protein kinase of the MAPK family)</w:t>
      </w:r>
    </w:p>
    <w:bookmarkEnd w:id="9"/>
    <w:bookmarkStart w:id="10" w:name="accepted-name"/>
    <w:p>
      <w:pPr>
        <w:pStyle w:val="Heading2"/>
      </w:pPr>
      <w:r>
        <w:t xml:space="preserve">Accepted name:</w:t>
      </w:r>
    </w:p>
    <w:p>
      <w:pPr>
        <w:pStyle w:val="FirstParagraph"/>
      </w:pPr>
      <w:r>
        <w:t xml:space="preserve">Mitogen-activated protein kinase 15</w:t>
      </w:r>
    </w:p>
    <w:bookmarkEnd w:id="10"/>
    <w:bookmarkStart w:id="11" w:name="synonyms"/>
    <w:p>
      <w:pPr>
        <w:pStyle w:val="Heading2"/>
      </w:pPr>
      <w:r>
        <w:t xml:space="preserve">Synonyms:</w:t>
      </w:r>
    </w:p>
    <w:p>
      <w:pPr>
        <w:pStyle w:val="FirstParagraph"/>
      </w:pPr>
      <w:r>
        <w:t xml:space="preserve">ERK7 (rodents), ERK8 (human); sometimes referred to collectively as ERK7/ERK8.</w:t>
      </w:r>
    </w:p>
    <w:bookmarkEnd w:id="11"/>
    <w:bookmarkStart w:id="12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Atypical MAPK conserved throughout metazoans. Single orthologues reported in human (ERK8), mouse/rat (ERK7), zebrafish, chicken and Xenopus, indicating broad distribution across vertebrates (Cargnello &amp; Roux, 2011; Krens, 1887; von Thun, 2012). Shares the canonical MAPK N-terminal kinase domain but possesses an extended C-terminal tail that distinguishes it from classical ERK1/2 (Cargnello &amp; Roux, 2011; von Thun, 2012).</w:t>
      </w:r>
    </w:p>
    <w:bookmarkEnd w:id="12"/>
    <w:bookmarkStart w:id="13" w:name="reaction-catalysed"/>
    <w:p>
      <w:pPr>
        <w:pStyle w:val="Heading2"/>
      </w:pPr>
      <w:r>
        <w:t xml:space="preserve">Reaction catalysed</w:t>
      </w:r>
    </w:p>
    <w:p>
      <w:pPr>
        <w:pStyle w:val="FirstParagraph"/>
      </w:pPr>
      <w:r>
        <w:t xml:space="preserve">ATP + L-seryl/threonyl-[protein] ⇌ ADP + H(+) + O-phospho-L-seryl/threonyl-[protein] (Cargnello &amp; Roux, 2011).</w:t>
      </w:r>
    </w:p>
    <w:bookmarkEnd w:id="13"/>
    <w:bookmarkStart w:id="14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divalent Mg²⁺ for ATP coordination (Cargnello &amp; Roux, 2011).</w:t>
      </w:r>
    </w:p>
    <w:bookmarkEnd w:id="14"/>
    <w:bookmarkStart w:id="15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Ser/Thr kinase that phosphorylates typical MAPK test substrates in vitro, including myelin basic protein and FOS (von Thun, 2012). The kinase domain contains all eleven conserved sub-domains and a dual Thr-x-Tyr motif, suggesting MAPK-like preferences, although no definitive in-vivo consensus motif has been established (Singh et al., 2018; Nguyen et al., 2015).</w:t>
      </w:r>
    </w:p>
    <w:bookmarkEnd w:id="15"/>
    <w:bookmarkStart w:id="16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Comprises a conserved N-terminal two-lobe kinase core with an activation loop harbouring an atypical Thr-Glu-Tyr (TxY) autophosphorylation motif (Cargnello &amp; Roux, 2011; von Thun, 2012). The C-terminal extension, lacking in classical ERKs, contains a nuclear localisation signal, several proline-rich sequences, and binding motifs for ATG8/LC3 family proteins and PCNA (Singh et al., 2018). Molecular dynamics and comparative studies reveal absence of the canonical β4–β5 insert and unique substitutions in the C-tail that may underlie altered allosteric and docking properties (Nguyen et al., 2015; Tillmann, 2015).</w:t>
      </w:r>
    </w:p>
    <w:bookmarkEnd w:id="16"/>
    <w:bookmarkStart w:id="17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Activity is mainly controlled through constitutive autophosphorylation of the TxY activation motif, apparently independent of upstream MAPKKs (Cargnello &amp; Roux, 2011; von Thun, 2012). Protein abundance is limited by ubiquitin–proteasome-mediated turnover via N-terminal ubiquitination sites (Singh et al., 2018; Dahm et al., 2025). The C-terminal tail contributes to subcellular distribution through its nuclear localisation signal and multiple protein-interaction motifs (von Thun, 2012; Tillmann, 2015).</w:t>
      </w:r>
    </w:p>
    <w:bookmarkEnd w:id="17"/>
    <w:bookmarkStart w:id="18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Multifunctional kinase with roles in:</w:t>
      </w:r>
      <w:r>
        <w:br/>
      </w:r>
      <w:r>
        <w:t xml:space="preserve">• Autophagy – interacts with GABARAP/MAP1LC3 family members to promote autophagosome formation and SQSTM1 degradation.</w:t>
      </w:r>
      <w:r>
        <w:br/>
      </w:r>
      <w:r>
        <w:t xml:space="preserve">• Ciliogenesis – regulates primary cilium assembly and localisation of ciliary components.</w:t>
      </w:r>
      <w:r>
        <w:br/>
      </w:r>
      <w:r>
        <w:t xml:space="preserve">• Secretory trafficking – prevents retrograde movement of glycosylation enzymes, thereby limiting synthesis of highly glycosylated proteins.</w:t>
      </w:r>
      <w:r>
        <w:br/>
      </w:r>
      <w:r>
        <w:t xml:space="preserve">• Genome integrity – binds chromatin and stabilises PCNA by shielding it from MDM2-dependent ubiquitination.</w:t>
      </w:r>
      <w:r>
        <w:br/>
      </w:r>
      <w:r>
        <w:t xml:space="preserve">Additional reported activities include regulation of dopamine transporter function via RhoA and phosphorylation-dependent control of ELAVL1 during oxidative stress. In vitro, phosphorylates FOS and MBP (Cargnello &amp; Roux, 2011; von Thun, 2012).</w:t>
      </w:r>
    </w:p>
    <w:bookmarkEnd w:id="18"/>
    <w:bookmarkStart w:id="19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No selective catalytic inhibitors have been described to date, complicating mechanistic studies (Cargnello &amp; Roux, 2011; Tillmann, 2015). Reduced MAPK15 expression has been noted in subsets of breast cancers, implying a possible tumour-suppressive role; its functions in autophagy, secretion and DNA damage responses highlight therapeutic interest (von Thun, 2012; Dahm et al., 2025).</w:t>
      </w:r>
    </w:p>
    <w:bookmarkEnd w:id="19"/>
    <w:bookmarkStart w:id="20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Cargnello, M., &amp; Roux, P. P. (2011). Activation and function of the MAPKs and their substrates, the MAPK-activated protein kinases. Microbiology and Molecular Biology Reviews, 75, 50–83. https://doi.org/10.1128/mmbr.00031-10</w:t>
      </w:r>
    </w:p>
    <w:p>
      <w:pPr>
        <w:pStyle w:val="BodyText"/>
      </w:pPr>
      <w:r>
        <w:t xml:space="preserve">Dahm, K., Vijayarangakannan, P., Wollscheid, H.-P., Schild, H., &amp; Rajalingam, K. (2025). Atypical MAPKs in cancer. The FEBS Journal. https://doi.org/10.1111/febs.17283</w:t>
      </w:r>
    </w:p>
    <w:p>
      <w:pPr>
        <w:pStyle w:val="BodyText"/>
      </w:pPr>
      <w:r>
        <w:t xml:space="preserve">Krens, S. F. G. (1887). Molecular cell biolog (IBL) and biophysics, Faculty of Science, Leiden University. [Unpublished work].</w:t>
      </w:r>
    </w:p>
    <w:p>
      <w:pPr>
        <w:pStyle w:val="BodyText"/>
      </w:pPr>
      <w:r>
        <w:t xml:space="preserve">Nguyen, T., Ruan, Z., Oruganty, K., &amp; Kannan, N. (2015). Co-conserved MAPK features couple D-domain docking groove to distal allosteric sites via the C-terminal flanking tail. PLOS ONE, 10, e0119636. https://doi.org/10.1371/journal.pone.0119636</w:t>
      </w:r>
    </w:p>
    <w:p>
      <w:pPr>
        <w:pStyle w:val="BodyText"/>
      </w:pPr>
      <w:r>
        <w:t xml:space="preserve">Singh, T., Agarwal, T., &amp; Ghosh, S. K. (2018). Identification and functional analysis of a stress-responsive MAPK15 in Entamoeba invadens. Molecular and Biochemical Parasitology, 222, 34–44. https://doi.org/10.1016/j.molbiopara.2018.05.002</w:t>
      </w:r>
    </w:p>
    <w:p>
      <w:pPr>
        <w:pStyle w:val="BodyText"/>
      </w:pPr>
      <w:r>
        <w:t xml:space="preserve">Tillmann, K. D. (2015). Sec16 as an integrator of signaling to the endoplasmic reticulum. [Unpublished work].</w:t>
      </w:r>
    </w:p>
    <w:p>
      <w:pPr>
        <w:pStyle w:val="BodyText"/>
      </w:pPr>
      <w:r>
        <w:t xml:space="preserve">von Thun, A. (2012). The role of ERK2 in controlling tumour cell invasion. [Unpublished work].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2025-06-25T18:50:43Z</dcterms:created>
  <dcterms:modified xsi:type="dcterms:W3CDTF">2025-06-25T18:50:43Z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