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Megakaryocyte-associated tyrosine-protein kinase (MATK; CSK-homologous kinase) is a non-receptor tyrosine kinase most closely related to C-terminal Src kinase (CSK). Orthologues have been detected almost exclusively in vertebrates and show enriched expression in hematopoietic lineages and the nervous system (Chong et al., 2005; Grgurevich et al., 1997). Sequence comparisons place MATK on the CSK evolutionary branch that emerged from the core kinase repertoire of the last eukaryotic common ancestor and co-evolved with Src family kinases. While its catalytic domain is highly conserved relative to CSK, its SH2 (and other regulatory) regions display lineage-specific adaptations that underpin tissue-restricted functions (Grgurevich et al., 1997).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[protein]-Tyr ⇌ ADP + [protein]-pTyr + H⁺</w:t>
      </w:r>
      <w:r>
        <w:br/>
      </w:r>
      <w:r>
        <w:t xml:space="preserve">MATK phosphorylates the conserved C-terminal regulatory tyrosine of Src family kinases, locking them into an inactive conformation (Chong et al., 2005).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catalysis (Ia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MATK targets the C-terminal Tyr of Src family kinases and recognises optimal motifs such as EEIYFFF; fidelity depends on local sequence determinants plus distal docking via the SH2/SH3 domains (Chong et al., 2005; Ia et al., 2010). In addition to catalytic phosphorylation, MATK can bind active Src kinases to form non-catalytic inhibitory complexes (Chong et al., 2005).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region followed by SH3, SH2 and catalytic kinase domains. Canonical kinase motifs (glycine-rich loop, catalytic and activation loops, hydrophobic spine) are present, but MATK lacks the C-terminal inhibitory Tyr and autophosphorylation sites seen in Src kinases. Inter-domain contacts between SH2/SH3 and the kinase core modulate activity and substrate selection, mirroring mechanisms defined for CSK (Chong et al., 2005; Ia et al., 2010). No MATK-specific structural elements beyond these CSK-family features have been reported.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Catalytic action: phosphorylation of Src family kinases at the C-terminal Tyr switches them off (Chong et al., 2005).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MATK phosphorylation: PKA-mediated modification of residues equivalent to CSK Ser-364 stimulates full activity (Ia et al., 2010; Chong et al., 2005).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Localization: the SH2 domain recruits MATK to phospho-Tyr–containing adaptors (e.g., Cbp/PAG) at the plasma membrane; in platelets, thrombin triggers translocation from cytosol to cytoskeleton (Hirao et al., 1997).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Non-catalytic inhibition: stable MATK–Src complexes further restrain Src signalling (Chong et al., 2005).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MATK serves as a negative regulator of Src family kinase signalling.</w:t>
      </w:r>
      <w:r>
        <w:br/>
      </w:r>
      <w:r>
        <w:t xml:space="preserve">• Hematopoietic system: abundant in megakaryocytes, T lymphocytes and natural killer cells where it restrains proliferation/differentiation by suppressing Lyn, Lck and related kinases (Kim et al., 2004; Grgurevich et al., 1997).</w:t>
      </w:r>
      <w:r>
        <w:br/>
      </w:r>
      <w:r>
        <w:t xml:space="preserve">• Nervous system: neuronal expression links MATK to control of neurite outgrowth, axonal guidance and differentiation via local Src modulation (Chong et al., 2005).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inhibitors selective for MATK are currently available. CSK-directed compounds or strategies that enhance MATK activity/mimic its Src-inhibitory interaction are being explored as potential approaches to curb aberrant Src signalling in cancer (Chong et al., 2005; Boubeva, 2011).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Epigenetic silencing of the MATK gene has been documented in colorectal cancer, supporting a putative tumour-suppressor role (Chueh et al., 2021). Its restricted expression pattern makes MATK an attractive target for studies of immune dysregulation and neurological disorders.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Boubeva, R. (2011). Understanding tyrosine kinase domain plasticity through identification of protein residues involved in the control of the conformational transition.</w:t>
      </w:r>
      <w:r>
        <w:t xml:space="preserve"> </w:t>
      </w:r>
      <w:r>
        <w:rPr>
          <w:i/>
          <w:iCs/>
        </w:rPr>
        <w:t xml:space="preserve">[Journal unknown]</w:t>
      </w:r>
      <w:r>
        <w:t xml:space="preserve">. https://doi.org/10.13097/archive-ouverte/unige:17314</w:t>
      </w:r>
    </w:p>
    <w:p>
      <w:pPr>
        <w:pStyle w:val="BodyText"/>
      </w:pPr>
      <w:r>
        <w:t xml:space="preserve">Chong, Y.-P., Mulhern, T. D., &amp; Cheng, H.-C. (2005). C-terminal Src kinase (CSK) and CSK-homologous kinase (CHK)—endogenous negative regulators of Src-family protein kinases.</w:t>
      </w:r>
      <w:r>
        <w:t xml:space="preserve"> </w:t>
      </w:r>
      <w:r>
        <w:rPr>
          <w:i/>
          <w:iCs/>
        </w:rPr>
        <w:t xml:space="preserve">Growth Factors, 23</w:t>
      </w:r>
      <w:r>
        <w:t xml:space="preserve">, 233-244. https://doi.org/10.1080/08977190500178877</w:t>
      </w:r>
    </w:p>
    <w:p>
      <w:pPr>
        <w:pStyle w:val="BodyText"/>
      </w:pPr>
      <w:r>
        <w:t xml:space="preserve">Chueh, A. C., Advani, G., Foroutan, M., et al. (2021). CSK-homologous kinase (CHK/MATK) is a potential colorectal cancer tumour suppressor gene epigenetically silenced by promoter methylation.</w:t>
      </w:r>
      <w:r>
        <w:t xml:space="preserve"> </w:t>
      </w:r>
      <w:r>
        <w:rPr>
          <w:i/>
          <w:iCs/>
        </w:rPr>
        <w:t xml:space="preserve">Oncogene, 40</w:t>
      </w:r>
      <w:r>
        <w:t xml:space="preserve">, 3015-3029. https://doi.org/10.1038/s41388-021-01755-z</w:t>
      </w:r>
    </w:p>
    <w:p>
      <w:pPr>
        <w:pStyle w:val="BodyText"/>
      </w:pPr>
      <w:r>
        <w:t xml:space="preserve">Grgurevich, S., Linnekin, D., Musso, T., et al. (1997). The CSK-like proteins Lsk, Hyl, and Matk represent the same CSK homologous kinase (CHK) and are regulated by stem cell factor in the megakaryoblastic cell line MO7e.</w:t>
      </w:r>
      <w:r>
        <w:t xml:space="preserve"> </w:t>
      </w:r>
      <w:r>
        <w:rPr>
          <w:i/>
          <w:iCs/>
        </w:rPr>
        <w:t xml:space="preserve">Growth Factors, 14</w:t>
      </w:r>
      <w:r>
        <w:t xml:space="preserve">, 103-115. https://doi.org/10.3109/08977199709021514</w:t>
      </w:r>
    </w:p>
    <w:p>
      <w:pPr>
        <w:pStyle w:val="BodyText"/>
      </w:pPr>
      <w:r>
        <w:t xml:space="preserve">Hirao, A., Hamaguchi, I., Suda, T., &amp; Yamaguchi, N. (1997). Translocation of the CSK homologous kinase (CHK/Hyl) controls activity of CD36-anchored Lyn tyrosine kinase in thrombin-stimulated platelets.</w:t>
      </w:r>
      <w:r>
        <w:t xml:space="preserve"> </w:t>
      </w:r>
      <w:r>
        <w:rPr>
          <w:i/>
          <w:iCs/>
        </w:rPr>
        <w:t xml:space="preserve">The EMBO Journal, 16</w:t>
      </w:r>
      <w:r>
        <w:t xml:space="preserve">, 2342-2351. https://doi.org/10.1093/emboj/16.9.2342</w:t>
      </w:r>
    </w:p>
    <w:p>
      <w:pPr>
        <w:pStyle w:val="BodyText"/>
      </w:pPr>
      <w:r>
        <w:t xml:space="preserve">Ia, K. K., Mills, R. D., Hossain, M. I., et al. (2010). Structural elements and allosteric mechanisms governing regulation and catalysis of CSK-family kinases and their inhibition of Src-family kinases.</w:t>
      </w:r>
      <w:r>
        <w:t xml:space="preserve"> </w:t>
      </w:r>
      <w:r>
        <w:rPr>
          <w:i/>
          <w:iCs/>
        </w:rPr>
        <w:t xml:space="preserve">Growth Factors, 28</w:t>
      </w:r>
      <w:r>
        <w:t xml:space="preserve">, 329-350. https://doi.org/10.3109/08977194.2010.484424</w:t>
      </w:r>
    </w:p>
    <w:p>
      <w:pPr>
        <w:pStyle w:val="BodyText"/>
      </w:pPr>
      <w:r>
        <w:t xml:space="preserve">Kim, S.-O., Avraham, S., Jiang, S., et al. (2004). Differential expression of CSK homologous kinase (CHK) in normal brain and brain tumours.</w:t>
      </w:r>
      <w:r>
        <w:t xml:space="preserve"> </w:t>
      </w:r>
      <w:r>
        <w:rPr>
          <w:i/>
          <w:iCs/>
        </w:rPr>
        <w:t xml:space="preserve">Cancer</w:t>
      </w:r>
      <w:r>
        <w:t xml:space="preserve">. https://doi.org/10.1002/cncr.20442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2025-06-25T19:03:17Z</dcterms:created>
  <dcterms:modified xsi:type="dcterms:W3CDTF">2025-06-25T19:03:17Z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