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ATM is a serine/threonine kinase of the phosphatidylinositol-3-kinase-related kinase (PIKK) family, which also includes ATR, DNA-PKcs, mTOR, SMG1 and TRRAP. Orthologues occur in all metazoans and in yeast (Tel1), with conservation of the FAT, kinase and FATC domains, indicating an ancient eukaryotic origin (Bhatti et al., 2011; Lee &amp; Paull, 2021; Pavletich &amp; Warren, 2022; Shiloh &amp; Ziv, 2013; Ueno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[L-seryl/threonyl-protein] ⇌ ADP + H⁺ + O-phospho-L-seryl/threonyl-protein (Putti et al., 2021; Shiloh &amp; Ziv,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phosphoryl-transfer activity (Bhatti et al., 2011; Pavletich &amp; Warren, 2022).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ATM preferentially phosphorylates serine or threonine residues immediately followed by glutamine (SQ/TQ motifs). Key substrates include H2AX (Ser139 → γH2AX), p53, Chk2 and components of the MRN complex (Bhatti et al., 2011; Putti et al., 2021; Shiloh &amp; Ziv,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HEAT repeats form a solenoid scaffold for partner binding.</w:t>
      </w:r>
      <w:r>
        <w:br/>
      </w:r>
      <w:r>
        <w:t xml:space="preserve">• C-terminal FAT, kinase and FATC domains compose the catalytic core; the kinase cleft resembles class I PI3Ks.</w:t>
      </w:r>
      <w:r>
        <w:br/>
      </w:r>
      <w:r>
        <w:t xml:space="preserve">• In resting cells, ATM exists as an inactive homodimer; DNA double-strand breaks induce autophosphorylation (Ser1981) and dissociation into active monomers.</w:t>
      </w:r>
      <w:r>
        <w:br/>
      </w:r>
      <w:r>
        <w:t xml:space="preserve">• The FAT domain contributes to autoinhibition, whereas the FATC tail is required for folding and full catalytic activity.</w:t>
      </w:r>
      <w:r>
        <w:br/>
      </w:r>
      <w:r>
        <w:t xml:space="preserve">(Pavletich &amp; Warren, 2022; Bhatti et al., 2011; Lau et al., 2016; Wang et al., 2016; Shiloh &amp; Ziv, 2013)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Recruitment by the MRN complex to DNA breaks triggers Ser1981 autophosphorylation and activation.</w:t>
      </w:r>
      <w:r>
        <w:br/>
      </w:r>
      <w:r>
        <w:t xml:space="preserve">• Tip60 acetylates ATM (e.g., Lys3016) to achieve maximal activity.</w:t>
      </w:r>
      <w:r>
        <w:br/>
      </w:r>
      <w:r>
        <w:t xml:space="preserve">• PP2A and PP5 dephosphorylate ATM to terminate signalling.</w:t>
      </w:r>
      <w:r>
        <w:br/>
      </w:r>
      <w:r>
        <w:t xml:space="preserve">• Oxidative stress activates ATM through disulfide-bond formation.</w:t>
      </w:r>
      <w:r>
        <w:br/>
      </w:r>
      <w:r>
        <w:t xml:space="preserve">(Bhatti et al., 2011; Oberle &amp; Blattner, 2010; Putti et al., 2021; Shiloh &amp; Ziv, 2013; Ueno et al., 2022)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ATM is a master regulator of the DNA damage response, coordinating checkpoint control, homologous recombination, non-homologous end-joining and apoptosis via phosphorylation of γH2AX, p53, Chk2, BRCA1 and other effectors. Additional roles include immune development, vesicle/protein trafficking, metabolic and redox regulation. Expression is ubiquitous but highest in brain, immune tissues and proliferative cells (Amirifar et al., 2019; Bhatti et al., 2011; Lee &amp; Paull, 2021; Putti et al., 2021; Shiloh &amp; Ziv, 2013; Ueno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Multiple experimental ATP-competitive ATM inhibitors are under pre-clinical and early clinical evaluation to potentiate radiotherapy or DNA-damaging chemotherapy, although achieving kinase selectivity remains challenging (Putti et al., 2021; Shiloh &amp; Ziv, 2013; Williams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loss-of-function mutations in ATM cause the recessive disorder ataxia-telangiectasia, characterised by neurodegeneration, immunodeficiency, cancer predisposition and radiosensitivity. Somatic or heterozygous “kinase-dead” mutations promote genomic instability and influence therapy responses, underscoring ATM’s tumour-suppressor role (Amirifar et al., 2019; Bhatti et al., 2011; Putti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Amirifar, P., Ranjouri, M. R., Yazdani, R., Abolhassani, H., &amp; Aghamohammadi, A. (2019). Ataxia-telangiectasia: A review of clinical features and molecular pathology. Pediatric Allergy and Immunology, 30, 277–288. https://doi.org/10.1111/pai.13020</w:t>
      </w:r>
    </w:p>
    <w:p>
      <w:pPr>
        <w:pStyle w:val="BodyText"/>
      </w:pPr>
      <w:r>
        <w:t xml:space="preserve">Bhatti, S., Kozlov, S., Farooqi, A. A., Naqi, A., Lavin, M., &amp; Khanna, K. K. (2011). ATM protein kinase: The linchpin of cellular defenses to stress. Cellular and Molecular Life Sciences, 68, 2977–3006. https://doi.org/10.1007/s00018-011-0683-9</w:t>
      </w:r>
    </w:p>
    <w:p>
      <w:pPr>
        <w:pStyle w:val="BodyText"/>
      </w:pPr>
      <w:r>
        <w:t xml:space="preserve">Lau, W. C. Y., Li, Y., Liu, Z., Gao, Y., Zhang, Q., &amp; Huen, M. S. Y. (2016). Structure of the human dimeric ATM kinase. Cell Cycle, 15, 1117–1124. https://doi.org/10.1080/15384101.2016.1158362</w:t>
      </w:r>
    </w:p>
    <w:p>
      <w:pPr>
        <w:pStyle w:val="BodyText"/>
      </w:pPr>
      <w:r>
        <w:t xml:space="preserve">Lee, J.-H., &amp; Paull, T. T. (2021). Cellular functions of the protein kinase ATM and their relevance to human disease. Nature Reviews Molecular Cell Biology, 22, 796–814. https://doi.org/10.1038/s41580-021-00394-2</w:t>
      </w:r>
    </w:p>
    <w:p>
      <w:pPr>
        <w:pStyle w:val="BodyText"/>
      </w:pPr>
      <w:r>
        <w:t xml:space="preserve">Oberle, C., &amp; Blattner, C. (2010). Regulation of the DNA damage response to DSBs by post-translational modifications. Current Genomics, 11, 184–198. https://doi.org/10.2174/138920210791110979</w:t>
      </w:r>
    </w:p>
    <w:p>
      <w:pPr>
        <w:pStyle w:val="BodyText"/>
      </w:pPr>
      <w:r>
        <w:t xml:space="preserve">Pavletich, N. P., &amp; Warren, C. (2022). Structure of the human ATM kinase and mechanism of NBS1 binding. bioRxiv. https://doi.org/10.1101/2021.10.17.464701</w:t>
      </w:r>
    </w:p>
    <w:p>
      <w:pPr>
        <w:pStyle w:val="BodyText"/>
      </w:pPr>
      <w:r>
        <w:t xml:space="preserve">Putti, S., Giovinazzo, A., Merolle, M., Falchetti, M. L., &amp; Pellegrini, M. (2021). ATM kinase dead: From ataxia telangiectasia syndrome to cancer. Cancers, 13, 5498. https://doi.org/10.3390/cancers13215498</w:t>
      </w:r>
    </w:p>
    <w:p>
      <w:pPr>
        <w:pStyle w:val="BodyText"/>
      </w:pPr>
      <w:r>
        <w:t xml:space="preserve">Shiloh, Y., &amp; Ziv, Y. (2013). The ATM protein kinase: Regulating the cellular response to genotoxic stress, and more. Nature Reviews Molecular Cell Biology, 14, 197–210. https://doi.org/10.1038/nrm3546</w:t>
      </w:r>
    </w:p>
    <w:p>
      <w:pPr>
        <w:pStyle w:val="BodyText"/>
      </w:pPr>
      <w:r>
        <w:t xml:space="preserve">Ueno, S., Sudo, T., &amp; Hirasawa, A. (2022). ATM: Functions of ATM kinase and its relevance to hereditary tumors. International Journal of Molecular Sciences, 23, 523. https://doi.org/10.3390/ijms23010523</w:t>
      </w:r>
    </w:p>
    <w:p>
      <w:pPr>
        <w:pStyle w:val="BodyText"/>
      </w:pPr>
      <w:r>
        <w:t xml:space="preserve">Wang, X., Chu, H., Lv, M., Zhang, Z., Qiu, S., Liu, H., Shen, X., Wang, W., &amp; Cai, G. (2016). Structure of the intact ATM/Tel1 kinase. Nature Communications. https://doi.org/10.1038/ncomms11655</w:t>
      </w:r>
    </w:p>
    <w:p>
      <w:pPr>
        <w:pStyle w:val="BodyText"/>
      </w:pPr>
      <w:r>
        <w:t xml:space="preserve">Williams, R. M., Yates, L. A., &amp; Zhang, X. (2020). Structures and regulations of ATM and ATR, master kinases in genome integrity. Current Opinion in Structural Biology, 61, 98–105. https://doi.org/10.1016/j.sbi.2019.12.010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2025-06-25T18:57:08Z</dcterms:created>
  <dcterms:modified xsi:type="dcterms:W3CDTF">2025-06-25T18:57:08Z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