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PIP5K1B is a Type I phosphatidylinositol-4-phosphate 5-kinase (PIP5K) within the phosphatidylinositol phosphate kinase (PIPK) superfamily of the human lipid kinome (unknownauthors, 2018, pp. 11-13; Sasaki et al., 2009, p. 2; unknownauthors, 2022, pp. 41-47). Sequence identity across the catalytic domain is ~77 % to PIP5K1A and ~82 % to PIP5K1C (unknownauthors, Unknown year, pp. 76-80). Orthologues are present throughout eukaryotes—including mammals, birds, fish, fungi, plants and Apicomplexa—indicating ancient evolutionary conservation (unknownauthors, 2022, pp. 41-47; Narkis et al., 2007; Zeng et al., 2018; Sasaki et al., 2009, p. 32).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PI(4)P + ATP ⇌ PI(4,5)P₂ + ADP (Burke et al., 2023, pp. 27-28; unknownauthors, 2018, pp. 11-13).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Mn²⁺ can substitute (Burke et al., 2023, pp. 27-28; Xia, 2011, pp. 28-31). Phosphatidic acid acts as an activity-enhancing lipid cofactor (unknownauthors, 2018, pp. 11-13).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preferred substrate is phosphatidylinositol 4-phosphate (PI(4)P) (unknownauthors, 2018, pp. 11-13; Burke, 2018, p. 2). PIP5K family members can also phosphorylate PI3P and PI5P with lower efficiency (Xia, 2011, pp. 28-31; Jin &amp; Xue, 2023, pp. 1-2). A determinant residue in the activation loop modulates lipid selectivity (unknownauthors, 2018, pp. 6-9). PIP5K1B additionally autophosphorylates on serine residues (unknownauthors, 2018, pp. 11-13).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AlphaFold modelling (UniProt O14986) and homology with related isoforms reveal an N-lobe/C-lobe protein-kinase fold incorporating: (i) a central catalytic domain, (ii) a PIP-binding motif within the C-lobe, and (iii) an N-terminal dimerisation interface (unknownauthors, 2022, pp. 41-47; Zeng et al., 2018, pp. 8-9). The N- and C-termini are largely disordered and poorly conserved, consistent with isoform-specific localisation (unknownauthors, Unknown year, pp. 76-80). Key catalytic elements include a conserved lysine for ATP anchoring and an invariant aspartate essential for phosphoryl transfer; a C-terminal activation loop becomes ordered upon phospholipid engagement (Zeng et al., 2018, pp. 9-11; unknownauthors, Unknown year, pp. 76-80). The kinase displays a flat membrane-binding surface that, together with the dimer interface, contributes to regulation (Xia, 2011, pp. 28-31).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serine residues inhibits lipid-kinase activity (unknownauthors, 2018, pp. 11-13).</w:t>
      </w:r>
      <w:r>
        <w:br/>
      </w:r>
      <w:r>
        <w:t xml:space="preserve">• PKA/PKC phosphorylation at Ser214 and PKC-mediated phosphorylation at Ser413 reduce activity (~40 %) (unknownauthors, 2018, pp. 11-13; unknownauthors, Unknown year, pp. 84-87).</w:t>
      </w:r>
      <w:r>
        <w:br/>
      </w:r>
      <w:r>
        <w:t xml:space="preserve">• Dephosphorylation by PP1 re-activates the enzyme (unknownauthors, 2018, pp. 11-13).</w:t>
      </w:r>
      <w:r>
        <w:br/>
      </w:r>
      <w:r>
        <w:t xml:space="preserve">• Small GTPases Arf1, Arf5, Arf6 and members of the Rho family stimulate activity, especially in the presence of phosphatidic acid (unknownauthors, 2018, pp. 11-13; Sasaki et al., 2009, p. 32).</w:t>
      </w:r>
      <w:r>
        <w:br/>
      </w:r>
      <w:r>
        <w:t xml:space="preserve">• PIP4Ks can bind and inhibit PIP5K1B independently of their own catalytic function (Wang et al., 2019, pp. 10-14).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heart tissue and localises to the plasma membrane and perinuclear vesicles (unknownauthors, 2018, pp. 6-9). Upon Arf6 activation, PIP5K1B is recruited to membrane ruffles and endosomes (unknownauthors, 2018, pp. 11-13). By producing PI(4,5)P₂, it governs plasma-membrane remodelling, clathrin-mediated endocytosis, exocytosis, actin-cytoskeleton dynamics, and neuronal growth-cone behaviour (unknownauthors, 2018, pp. 6-13). The generated PI(4,5)P₂ also serves as precursor for PI(3,4,5)P₃, coupling PIP5K1B activity to PI3K-dependent insulin signalling (Jin &amp; Xue, 2023, pp. 1-2; Wang et al., 2019, pp. 10-14; unknownauthors, 2022, pp. 41-47).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mutations in PIP5K1B cause Lethal Congenital Contracture Syndrome 7 (LCCS7), a severe recessive neuromuscular disorder featuring fetal akinesia and multiple joint contractures (unknownauthors, 2022, pp. 41-47; Narkis et al., 2007; unknownauthors, 2023, pp. 19-22). Pathogenic missense or splice-site variants abolish kinase activity and PI(4,5)P₂ synthesis; a conserved catalytic aspartate is especially critical, with certain substitutions reducing activity ~100-fold (Zeng et al., 2018, pp. 8-11; Chen et al., 2022, pp. 11-12). Historical nomenclature confusion between murine and human isoforms has been resolved in current databases (unknownauthors, 2022, pp. 41-47).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Burke, J. E. (2018). Structural basis for regulation of phosphoinositide kinases and their involvement in human disease. Molecular Cell, 71, 653-673. https://doi.org/10.1016/j.molcel.2018.08.005</w:t>
      </w:r>
    </w:p>
    <w:p>
      <w:pPr>
        <w:pStyle w:val="BodyText"/>
      </w:pPr>
      <w:r>
        <w:t xml:space="preserve">Burke, J. E., Triscott, J., Emerling, B. M., &amp; Hammond, G. R. V. (2023). Beyond PI3Ks: targeting phosphoinositide kinases in disease. Nature Reviews Drug Discovery, 22, 357-386. https://doi.org/10.1038/s41573-022-00582-5</w:t>
      </w:r>
    </w:p>
    <w:p>
      <w:pPr>
        <w:pStyle w:val="BodyText"/>
      </w:pPr>
      <w:r>
        <w:t xml:space="preserve">Chen, C., Hu, J., &amp; Ling, K. (2022). The role of primary cilia-associated phosphoinositide signaling in development. Journal of Developmental Biology, 10, 51. https://doi.org/10.3390/jdb10040051</w:t>
      </w:r>
    </w:p>
    <w:p>
      <w:pPr>
        <w:pStyle w:val="BodyText"/>
      </w:pPr>
      <w:r>
        <w:t xml:space="preserve">Jin, Y., &amp; Xue, J. (2023). Lipid kinases PIP5Ks and PIP4Ks: potential drug targets for breast cancer. Frontiers in Oncology. https://doi.org/10.3389/fonc.2023.1323897</w:t>
      </w:r>
    </w:p>
    <w:p>
      <w:pPr>
        <w:pStyle w:val="BodyText"/>
      </w:pPr>
      <w:r>
        <w:t xml:space="preserve">Narkis, G., Ofir, R., Landau, D., Manor, E., Volokita, M., Hershkowitz, R., Elbedour, K., &amp; Birk, O. (2007). Lethal contractural syndrome type 3 (LCCS3) is caused by a mutation in PIP5K1C. American Journal of Human Genetics, 81, 530-539. https://doi.org/10.1086/520771</w:t>
      </w:r>
    </w:p>
    <w:p>
      <w:pPr>
        <w:pStyle w:val="BodyText"/>
      </w:pPr>
      <w:r>
        <w:t xml:space="preserve">Sasaki, T., Takasuga, S., Sasaki, J., Kofuji, S., Eguchi, S., Yamazaki, M., &amp; Suzuki, A. (2009). Mammalian phosphoinositide kinases and phosphatases. Progress in Lipid Research, 48, 307-343. https://doi.org/10.1016/j.plipres.2009.06.001</w:t>
      </w:r>
    </w:p>
    <w:p>
      <w:pPr>
        <w:pStyle w:val="BodyText"/>
      </w:pPr>
      <w:r>
        <w:t xml:space="preserve">Wang, D. G., Paddock, M. N., Lundquist, M. R., Sun, J. Y., Mashadova, O., Amadiume, S., … Cantley, L. C. (2019). PIP4Ks suppress insulin signaling through a catalytic-independent mechanism. Cell Reports, 27, 1991-2001.e5. https://doi.org/10.1101/370544</w:t>
      </w:r>
    </w:p>
    <w:p>
      <w:pPr>
        <w:pStyle w:val="BodyText"/>
      </w:pPr>
      <w:r>
        <w:t xml:space="preserve">Xia, Y. (2011). The localisation and regulation of phosphatidylinositol-4-phosphate 5-kinase gamma splice variants and the discovery of a new mammalian splice variant, PIP5KIγ_v6 [Doctoral dissertation, University of Cambridge]. https://doi.org/10.17863/cam.15898</w:t>
      </w:r>
    </w:p>
    <w:p>
      <w:pPr>
        <w:pStyle w:val="BodyText"/>
      </w:pPr>
      <w:r>
        <w:t xml:space="preserve">Zeng, X., Uyar, A., Sui, D., Donyapour, N., Wu, D., Dickson, A., &amp; Hu, J. (2018). Structural insights into lethal contractural syndrome type 3 caused by a missense mutation of PIP5Kγ. Biochemical Journal, 475, 2257-2269. https://doi.org/10.1042/BCJ20180326</w:t>
      </w:r>
    </w:p>
    <w:p>
      <w:pPr>
        <w:pStyle w:val="BodyText"/>
      </w:pPr>
      <w:r>
        <w:t xml:space="preserve">Unknownauthors. (2018). The role of PIP5K family kinases in plasma membrane remodeling.</w:t>
      </w:r>
    </w:p>
    <w:p>
      <w:pPr>
        <w:pStyle w:val="BodyText"/>
      </w:pPr>
      <w:r>
        <w:t xml:space="preserve">Unknownauthors. (2022). Characterisation of alternative splice variants of PIP5K1A in the human metastatic prostate cancer cell line LNCaP C4-2.</w:t>
      </w:r>
    </w:p>
    <w:p>
      <w:pPr>
        <w:pStyle w:val="BodyText"/>
      </w:pPr>
      <w:r>
        <w:t xml:space="preserve">Unknownauthors. (2023). Elucidating the role of lipid-binding domains in V-ATPase a-subunits.</w:t>
      </w:r>
    </w:p>
    <w:p>
      <w:pPr>
        <w:pStyle w:val="BodyText"/>
      </w:pPr>
      <w:r>
        <w:t xml:space="preserve">Unknownauthors. (Unknown year). Transcriptome alterations following loss of PIP5K1α function in prostate cancer cells.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2025-07-03T23:08:22Z</dcterms:created>
  <dcterms:modified xsi:type="dcterms:W3CDTF">2025-07-03T23:08:22Z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