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MuSK belongs to the receptor tyrosine kinase (RTK) group of the human kinome and forms a muscle-restricted branch that is most closely related to the ROR subfamily (Manning et al., 2002; Valenzuela et al., 1995). Primary-sequence conservation is high across vertebrates (e.g., 94 % identity with rat MuSK; 97 % within the kinase domain) and extends to Torpedo californica electric-organ RTK, underscoring strong evolutionary conservation (Valenzuela et al., 1995).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(Duong-Ly &amp; Peterson,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ion; Mg²⁺ (and, interchangeably, Mn²⁺) coordinates the ATP γ-phosphate in the active site (Duong-Ly &amp; Peterson,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profiling places MuSK in an RTK cluster that favours hydrophobic residues (Ile/Leu) at positions −1 and +3 relative to the target tyrosine while disfavoring acidic residues at +3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Ectodomain: four Ig-like domains followed by a Frizzled-type cysteine-rich domain; Ig1–Ig2 crystal structure resolved at 2.2 Å (PDB 2IEP) (Stiegler et al., 2006).</w:t>
      </w:r>
      <w:r>
        <w:br/>
      </w:r>
      <w:r>
        <w:t xml:space="preserve">• Single-pass transmembrane helix (Valenzuela et al., 1995).</w:t>
      </w:r>
      <w:r>
        <w:br/>
      </w:r>
      <w:r>
        <w:t xml:space="preserve">• Cytoplasmic region: juxtamembrane segment containing Tyr553 (NPXY) and a catalytic domain with activation-loop Tyr750/Tyr754/Tyr755 (Hubbard &amp; Gnanasambandan, 2013).</w:t>
      </w:r>
    </w:p>
    <w:p>
      <w:pPr>
        <w:pStyle w:val="BodyText"/>
      </w:pPr>
      <w:r>
        <w:t xml:space="preserve">Key 3-D features</w:t>
      </w:r>
      <w:r>
        <w:br/>
      </w:r>
      <w:r>
        <w:t xml:space="preserve">– Ig1 dimerisation interface (Met48, Leu83, Ile96); mutations block agrin-dependent activation (Stiegler et al., 2006).</w:t>
      </w:r>
      <w:r>
        <w:br/>
      </w:r>
      <w:r>
        <w:t xml:space="preserve">– Surface disulfide Cys98–Cys112 stabilises Ig1 folding (Stiegler et al., 2006).</w:t>
      </w:r>
      <w:r>
        <w:br/>
      </w:r>
      <w:r>
        <w:t xml:space="preserve">– Unphosphorylated kinase domain adopts an autoinhibited conformation; phosphorylation of Tyr750/754/755 converts it to the active state (Hubbard &amp; Gnanasambandan, 2013).</w:t>
      </w:r>
      <w:r>
        <w:br/>
      </w:r>
      <w:r>
        <w:t xml:space="preserve">– Phospho-Tyr553 recruits the PTB adaptor Dok7 to juxtapose two kinase domains and promote activation-loop phosphorylation (Hubbard &amp; Gnanasambandan,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at Tyr553 enables Dok7 binding and downstream signalling (Herbst &amp; Burden, 2000).</w:t>
      </w:r>
      <w:r>
        <w:br/>
      </w:r>
      <w:r>
        <w:t xml:space="preserve">• Activation-loop phosphorylation of Tyr750, Tyr754 and Tyr755 is required for full catalytic activity (Hubbard &amp; Gnanasambandan, 2013).</w:t>
      </w:r>
      <w:r>
        <w:br/>
      </w:r>
      <w:r>
        <w:t xml:space="preserve">• Additional regulated sites include Tyr576, Tyr599, Ser678, Ser751 and Tyr755 (Budayeva et al., 2022; Prömer et al., 2025).</w:t>
      </w:r>
      <w:r>
        <w:br/>
      </w:r>
      <w:r>
        <w:t xml:space="preserve">• Ser751 is a CaMK2β target in vitro, but this modification is dispensable for MuSK activation in vivo (Prömer et al., 2025).</w:t>
      </w:r>
      <w:r>
        <w:br/>
      </w:r>
      <w:r>
        <w:t xml:space="preserve">• N-linked glycosylation of extracellular domains modulates agrin responsiveness; deglycosylation abolishes signalling (Glass et al., 1996).</w:t>
      </w:r>
    </w:p>
    <w:p>
      <w:pPr>
        <w:pStyle w:val="BodyText"/>
      </w:pPr>
      <w:r>
        <w:t xml:space="preserve">Allosteric/ligand control</w:t>
      </w:r>
      <w:r>
        <w:br/>
      </w:r>
      <w:r>
        <w:t xml:space="preserve">• Neural agrin binds LRP4, forming a complex that clusters MuSK and triggers basal autophosphorylation (Hubbard &amp; Gnanasambandan, 2013).</w:t>
      </w:r>
      <w:r>
        <w:br/>
      </w:r>
      <w:r>
        <w:t xml:space="preserve">• Dok7 interaction with pTyr553 stabilises MuSK dimers and drives activation-loop phosphorylation (Hubbard &amp; Gnanasambandan,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MuSK is selectively expressed in skeletal muscle, up-regulated during myoblast-to-myotube differentiation, and concentrated at the postsynaptic membrane of the neuromuscular junction (DeChiara et al., 1996; Valenzuela et al., 1995).</w:t>
      </w:r>
    </w:p>
    <w:p>
      <w:pPr>
        <w:pStyle w:val="BodyText"/>
      </w:pPr>
      <w:r>
        <w:t xml:space="preserve">Upstream inputs</w:t>
      </w:r>
      <w:r>
        <w:br/>
      </w:r>
      <w:r>
        <w:t xml:space="preserve">– Neural agrin via LRP4 (DeChiara et al., 1996).</w:t>
      </w:r>
      <w:r>
        <w:br/>
      </w:r>
      <w:r>
        <w:t xml:space="preserve">– Basal Wnt binding to the cysteine-rich domain (Hubbard &amp; Gnanasambandan, 2013).</w:t>
      </w:r>
    </w:p>
    <w:p>
      <w:pPr>
        <w:pStyle w:val="BodyText"/>
      </w:pPr>
      <w:r>
        <w:t xml:space="preserve">Downstream partners and pathways</w:t>
      </w:r>
      <w:r>
        <w:br/>
      </w:r>
      <w:r>
        <w:t xml:space="preserve">– PTB adaptor Dok7 (Hubbard &amp; Gnanasambandan, 2013).</w:t>
      </w:r>
      <w:r>
        <w:br/>
      </w:r>
      <w:r>
        <w:t xml:space="preserve">– Crk/Crk-L, Abl1 and Src kinases, Rapsyn, Dishevelled-1, PAK1, Rac1 and Cdc42 mediate acetylcholine-receptor (AChR) clustering and cytoskeletal remodelling (Fish &amp; Fallon, 2020; Wang et al., 2007).</w:t>
      </w:r>
      <w:r>
        <w:br/>
      </w:r>
      <w:r>
        <w:t xml:space="preserve">– Phosphorylation of Rab10, Rab35 and related Rab GTPases links MuSK to vesicular trafficking (Budayeva et al., 2022).</w:t>
      </w:r>
    </w:p>
    <w:p>
      <w:pPr>
        <w:pStyle w:val="BodyText"/>
      </w:pPr>
      <w:r>
        <w:t xml:space="preserve">Physiological roles</w:t>
      </w:r>
      <w:r>
        <w:br/>
      </w:r>
      <w:r>
        <w:t xml:space="preserve">MuSK initiates and maintains AChR clustering, postsynaptic gene expression and cytoskeletal organisation essential for neuromuscular transmission; genetic ablation prevents embryonic neuromuscular junction (NMJ) formation and signalling deficits cause progressive synaptic fragmentation and muscle weakness (DeChiara et al., 1996; Fish &amp; Fallon, 2020).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IgG4 autoantibodies against MuSK produce a subset of myasthenia gravis by interfering with agrin/LRP4-dependent activation, and inherited loss-of-function mutations in MU​SK or DOK7 cause congenital myasthenic syndromes (Hubbard &amp; Gnanasambandan, 2013).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Budayeva, H. G., Sengupta-Ghosh, A., Phu, L., Moffat, J. G., Ayalon, G., &amp; Kirkpatrick, D. (2022). Phosphoproteome profiling of the receptor tyrosine kinase MuSK identifies tyrosine phosphorylation of Rab GTPases. Molecular &amp; Cellular Proteomics, 21, 100221. https://doi.org/10.1016/j.mcpro.2022.100221</w:t>
      </w:r>
    </w:p>
    <w:p>
      <w:pPr>
        <w:pStyle w:val="BodyText"/>
      </w:pPr>
      <w:r>
        <w:t xml:space="preserve">DeChiara, T. M., Bowen, D. C., Valenzuela, D. M., Simmons, M. V., Poueymirou, W. T., Thomas, S., … Yancopoulos, G. D. (1996). The receptor tyrosine kinase MuSK is required for neuromuscular junction formation in vivo. Cell, 85(4), 501–512. https://doi.org/10.1016/S0092-8674(00)81251-9</w:t>
      </w:r>
    </w:p>
    <w:p>
      <w:pPr>
        <w:pStyle w:val="BodyText"/>
      </w:pPr>
      <w:r>
        <w:t xml:space="preserve">Duong-Ly, K. C., &amp; Peterson, J. R. (2013). The human kinome and kinase inhibition. Current Protocols in Pharmacology, 60, 2.9.1–2.9.14. https://doi.org/10.1002/0471141755.ph0209s60</w:t>
      </w:r>
    </w:p>
    <w:p>
      <w:pPr>
        <w:pStyle w:val="BodyText"/>
      </w:pPr>
      <w:r>
        <w:t xml:space="preserve">Fish, L. A., &amp; Fallon, J. R. (2020). Multiple MuSK signaling pathways and the aging neuromuscular junction. Neuroscience Letters, 733, 135014. https://doi.org/10.1016/j.neulet.2020.135014</w:t>
      </w:r>
    </w:p>
    <w:p>
      <w:pPr>
        <w:pStyle w:val="BodyText"/>
      </w:pPr>
      <w:r>
        <w:t xml:space="preserve">Glass, D. J., DeChiara, T. M., Stitt, T. N., DiStefano, P. S., Valenzuela, D. M., &amp; Yancopoulos, G. D. (1996). The receptor tyrosine kinase MuSK is required for neuromuscular junction formation and is a functional receptor for agrin. Cold Spring Harbor Symposia on Quantitative Biology, 61, 435–444. https://doi.org/10.1101/sqb.1996.061.01.046</w:t>
      </w:r>
    </w:p>
    <w:p>
      <w:pPr>
        <w:pStyle w:val="BodyText"/>
      </w:pPr>
      <w:r>
        <w:t xml:space="preserve">Herbst, R., &amp; Burden, S. J. (2000). The juxtamembrane region of MuSK has a critical role in agrin-mediated signaling. The EMBO Journal, 19(1), 67–77. https://doi.org/10.1093/emboj/19.1.67</w:t>
      </w:r>
    </w:p>
    <w:p>
      <w:pPr>
        <w:pStyle w:val="BodyText"/>
      </w:pPr>
      <w:r>
        <w:t xml:space="preserve">Hubbard, S. R., &amp; Gnanasambandan, K. (2013). Structure and activation of MuSK, a receptor tyrosine kinase central to neuromuscular junction formation. Biochimica et Biophysica Acta, 1834(10), 2166–2179. https://doi.org/10.1016/j.bbapap.2013.02.034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Prömer, J. J., Wolske, S., Castets, P., van Woerden, G. M., Barresi, C., O’Connor, K. C., &amp; Herbst, R. (2025). MuSK is a substrate for CaMK2β but this interaction is dispensable for MuSK activation in vivo. Scientific Reports, 15, 95053. https://doi.org/10.1038/s41598-025-95053-3</w:t>
      </w:r>
    </w:p>
    <w:p>
      <w:pPr>
        <w:pStyle w:val="BodyText"/>
      </w:pPr>
      <w:r>
        <w:t xml:space="preserve">Stiegler, A. L., Burden, S. J., &amp; Hubbard, S. R. (2006). Crystal structure of the agrin-responsive immunoglobulin-like domains 1 and 2 of the receptor tyrosine kinase MuSK. Journal of Molecular Biology, 364(3), 424–433. https://doi.org/10.1016/j.jmb.2006.09.019</w:t>
      </w:r>
    </w:p>
    <w:p>
      <w:pPr>
        <w:pStyle w:val="BodyText"/>
      </w:pPr>
      <w:r>
        <w:t xml:space="preserve">Valenzuela, D. M., Stitt, T. N., DiStefano, P. S., Rojas, E., Compton, D. L., Nuñez, L., … Yancopoulos, G. D. (1995). Receptor tyrosine kinase specific for the skeletal muscle lineage: Expression in embryonic muscle, at the neuromuscular junction, and after injury. Neuron, 15(3), 573–584. https://doi.org/10.1016/0896-6273(95)90146-9</w:t>
      </w:r>
    </w:p>
    <w:p>
      <w:pPr>
        <w:pStyle w:val="BodyText"/>
      </w:pPr>
      <w:r>
        <w:t xml:space="preserve">Wang, Q., Zhang, B., Xiong, W. C., &amp; Mei, L. (2007). MuSK signaling at the neuromuscular junction. Journal of Molecular Neuroscience, 30(2), 223–226. https://doi.org/10.1385/JMN:30:2:223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629(8014), 1174–1181. https://doi.org/10.1038/s41586-024-07407-y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2025-07-03T23:47:55Z</dcterms:created>
  <dcterms:modified xsi:type="dcterms:W3CDTF">2025-07-03T23:47:55Z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