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oposed-ecsub-subclass"/>
    <w:p>
      <w:pPr>
        <w:pStyle w:val="Heading2"/>
      </w:pPr>
      <w:r>
        <w:t xml:space="preserve">Proposed EC/sub-subclass</w:t>
      </w:r>
    </w:p>
    <w:p>
      <w:pPr>
        <w:pStyle w:val="FirstParagraph"/>
      </w:pPr>
      <w:r>
        <w:t xml:space="preserve">Not applicable – EphB6 is a catalytically inactive receptor tyrosine pseudokinase (Freywald et al., 2002; Liang et al., 2021).</w:t>
      </w:r>
    </w:p>
    <w:bookmarkEnd w:id="9"/>
    <w:bookmarkStart w:id="10" w:name="accepted-name"/>
    <w:p>
      <w:pPr>
        <w:pStyle w:val="Heading2"/>
      </w:pPr>
      <w:r>
        <w:t xml:space="preserve">Accepted name</w:t>
      </w:r>
    </w:p>
    <w:p>
      <w:pPr>
        <w:pStyle w:val="FirstParagraph"/>
      </w:pPr>
      <w:r>
        <w:t xml:space="preserve">Ephrin type-B receptor 6</w:t>
      </w:r>
    </w:p>
    <w:bookmarkEnd w:id="10"/>
    <w:bookmarkStart w:id="11" w:name="synonyms"/>
    <w:p>
      <w:pPr>
        <w:pStyle w:val="Heading2"/>
      </w:pPr>
      <w:r>
        <w:t xml:space="preserve">Synonyms</w:t>
      </w:r>
    </w:p>
    <w:p>
      <w:pPr>
        <w:pStyle w:val="FirstParagraph"/>
      </w:pPr>
      <w:r>
        <w:t xml:space="preserve">EphB6; EphB6 receptor; kinase-defective EphB6</w:t>
      </w:r>
    </w:p>
    <w:bookmarkEnd w:id="11"/>
    <w:bookmarkStart w:id="12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EphB6 belongs to the EphB subfamily of Eph receptor tyrosine kinases, the largest RTK sub-group (Freywald et al., 2002; Mason et al., 2021; Strozen et al., 2021). Mammalian EphB6 orthologues have lost catalytic activity, whereas avian and fish orthologues remain kinase-active, indicating a lineage-specific inactivation that likely followed gene-duplication events (Matsuoka et al., 2005; Strozen et al., 2021). EphB6 and EphA10 constitute the two catalytically inactive members within the Eph family (Liang et al., 2021).</w:t>
      </w:r>
    </w:p>
    <w:bookmarkEnd w:id="12"/>
    <w:bookmarkStart w:id="13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None. Mammalian EphB6 lacks intrinsic kinase activity and does not catalyze ATP-dependent phosphorylation reactions (Freywald et al., 2002; Strozen et al., 2021).</w:t>
      </w:r>
    </w:p>
    <w:bookmarkEnd w:id="13"/>
    <w:bookmarkStart w:id="14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Not applicable – no phosphotransfer activity has been detected (Freywald et al., 2002).</w:t>
      </w:r>
    </w:p>
    <w:bookmarkEnd w:id="14"/>
    <w:bookmarkStart w:id="15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Because the receptor is kinase-dead, no Eph-typical substrates are phosphorylated by EphB6 (Mason et al., 2021; Strozen et al., 2021; Freywald et al., 2002).</w:t>
      </w:r>
    </w:p>
    <w:bookmarkEnd w:id="15"/>
    <w:bookmarkStart w:id="16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EphB6 displays the canonical Eph architecture: an extracellular ligand-binding domain, cysteine-rich region and two FN3 repeats, followed by a single-pass transmembrane helix and an intracellular region comprising a juxtamembrane segment, pseudokinase domain, SAM domain and C-terminal PDZ-binding motif (Mason et al., 2021; Liang et al., 2021; Strozen et al., 2021).</w:t>
      </w:r>
      <w:r>
        <w:br/>
      </w:r>
      <w:r>
        <w:t xml:space="preserve">Catalytic motifs are disrupted (e.g., K702Q in the VAIK motif, Ser in place of the HRD Asp), and additional substitutions occur in VAIK, HRD and DFG motif-adjacent residues (Liang et al., 2021; Strozen et al., 2021). Despite inactivation, the pseudokinase binds ATP with moderate affinity (K_D ≈ 94 µM) and accommodates type I/II kinase inhibitors (Liang et al., 2021).</w:t>
      </w:r>
      <w:r>
        <w:br/>
      </w:r>
      <w:r>
        <w:t xml:space="preserve">A mammalian-specific activation loop truncation (~15 aa) contains a conserved PxxP SH3-binding motif (Strozen et al., 2021). The intracellular domains adopt multiple dynamic conformations (Liang et al., 2021).</w:t>
      </w:r>
    </w:p>
    <w:bookmarkEnd w:id="16"/>
    <w:bookmarkStart w:id="17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Ligand binding: Membrane-bound ephrin-B1 or ephrin-B2 triggers EphB6 clustering (Freywald et al., 2002; Strozen et al., 2021). Ephrin-B3 is not bound (Unknown Authors, 2016).</w:t>
      </w:r>
      <w:r>
        <w:br/>
      </w:r>
      <w:r>
        <w:t xml:space="preserve">• Trans-phosphorylation: Upon hetero-oligomerization with catalytically active Eph receptors (EphB1, EphB4, etc.) or Src-family kinases (e.g., Fyn), conserved juxtamembrane tyrosines Y645 (JX1) and Y651 (JX2) are phosphorylated (Freywald et al., 2002; Liang et al., 2021).</w:t>
      </w:r>
      <w:r>
        <w:br/>
      </w:r>
      <w:r>
        <w:t xml:space="preserve">• Post-translational modifications: inducible tyrosine phosphorylation; potential acetylation (Liang et al., 2021).</w:t>
      </w:r>
      <w:r>
        <w:br/>
      </w:r>
      <w:r>
        <w:t xml:space="preserve">• Protein interactions: Hsp90 binds the receptor basally; ligand stimulation breaks this interaction, promoting clathrin/Rab5-dependent internalization and lysosomal degradation (Unknown Authors, 2014; Mason et al., 2021). SAM-domain-mediated oligomerization can relieve autoinhibition (Strozen et al., 2021).</w:t>
      </w:r>
    </w:p>
    <w:bookmarkEnd w:id="17"/>
    <w:bookmarkStart w:id="18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Expression: detected in brain, thymus, pancreas, kidney, vascular smooth muscle, endothelial and neuronal cells, T-lymphocytes and monocytes (Freywald et al., 2002; Strozen et al., 2021).</w:t>
      </w:r>
      <w:r>
        <w:br/>
      </w:r>
      <w:r>
        <w:t xml:space="preserve">Roles: acts as a signaling scaffold regulating cell adhesion, migration and cytoskeletal dynamics; exhibits ligand-concentration-dependent biphasic effects on adhesion/migration (Matsuoka et al., 2005).</w:t>
      </w:r>
      <w:r>
        <w:br/>
      </w:r>
      <w:r>
        <w:t xml:space="preserve">Signaling partnerships: forms complexes with EphB1/2/4, EphA2, Src, Abl, Vav3, c-Cbl, AF6 and ErbB RTKs (Freywald et al., 2002; Liang et al., 2021; Unknown Authors, 2021). Downstream pathways influenced include JNK, MAPK, Rho GTPases, JAK/STAT3 and PI3K/Akt (Strozen et al., 2021). Additional roles are reported in T-cell receptor modulation, vascular contractility, pain transmission and lysosomal function (Strozen et al., 2021; Unknown Authors, 2015).</w:t>
      </w:r>
    </w:p>
    <w:bookmarkEnd w:id="18"/>
    <w:bookmarkStart w:id="19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The EphB6 pseudokinase domain can bind both type I and type II ATP-competitive kinase inhibitors (Liang et al., 2021).</w:t>
      </w:r>
    </w:p>
    <w:bookmarkEnd w:id="19"/>
    <w:bookmarkStart w:id="20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EphB6 dysregulation is linked to cancer. Often acting as a metastasis suppressor, its expression is frequently lost via promoter hypermethylation in aggressive breast, lung, colorectal, prostate, melanoma and neuroblastoma tumors; loss correlates with poor prognosis in colorectal cancer (Strozen et al., 2021; Unknown Authors, 2021). Conversely, elevated EphB6 expression is associated with poor outcomes in tongue squamous cell carcinoma and selected leukemia and colorectal contexts (Unknown Authors, 2015; 2021). In triple-negative breast cancer, EphB6 suppresses invasion yet promotes proliferation of tumor-initiating cells (Liang et al., 2021). Mutations destabilizing the receptor or altering the SAM linker can enhance metastasis, migration and chemoresistance (Strozen et al., 2021).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Freywald, A., Sharfe, N., &amp; Roifman, C. (2002). The kinase-null EphB6 receptor undergoes transphosphorylation in a complex with EphB1. Journal of Biological Chemistry, 277, 3823–3828. https://doi.org/10.1074/jbc.M108011200</w:t>
      </w:r>
    </w:p>
    <w:p>
      <w:pPr>
        <w:pStyle w:val="BodyText"/>
      </w:pPr>
      <w:r>
        <w:t xml:space="preserve">Liang, L.-Y., Roy, M., Horne, C. R., Sandow, J., Surudoi, M. G., Dagley, L. F., Young, S. N., Dite, T. A., Babon, J., Janes, P. W., Patel, O., Murphy, J. M., &amp; Lucet, I. (2021). The intracellular domains of the EphB6 and EphA10 receptor tyrosine pseudokinases function as dynamic signalling hubs. Biochemical Journal, 478, 3351–3371. https://doi.org/10.1042/BCJ20210572</w:t>
      </w:r>
    </w:p>
    <w:p>
      <w:pPr>
        <w:pStyle w:val="BodyText"/>
      </w:pPr>
      <w:r>
        <w:t xml:space="preserve">Mason, E. O., Goldgur, Y., Robev, D., Freywald, A., Nikolov, D., &amp; Himanen, J. (2021). Structure of the EphB6 receptor ectodomain. PLOS ONE, 16, e0247335. https://doi.org/10.1371/journal.pone.0247335</w:t>
      </w:r>
    </w:p>
    <w:p>
      <w:pPr>
        <w:pStyle w:val="BodyText"/>
      </w:pPr>
      <w:r>
        <w:t xml:space="preserve">Matsuoka, H., Obama, H., Kelly, M. L., Matsui, T., &amp; Nakamoto, M. (2005). Biphasic functions of the kinase-defective EphB6 receptor in cell adhesion and migration. Journal of Biological Chemistry, 280, 29355–29363. https://doi.org/10.1074/jbc.M500010200</w:t>
      </w:r>
    </w:p>
    <w:p>
      <w:pPr>
        <w:pStyle w:val="BodyText"/>
      </w:pPr>
      <w:r>
        <w:t xml:space="preserve">Strozen, T. G., Sharpe, J. C., Harris, E. D., Uppalapati, M., &amp; Toosi, B. M. (2021). The EphB6 receptor: Kinase-dead but very much alive. International Journal of Molecular Sciences, 22, 8211. https://doi.org/10.3390/ijms22158211</w:t>
      </w:r>
    </w:p>
    <w:p>
      <w:pPr>
        <w:pStyle w:val="BodyText"/>
      </w:pPr>
      <w:r>
        <w:t xml:space="preserve">Unknown Authors. (2014). Ligand stimulation induces clathrin- and Rab5-dependent downregulation of the kinase-dead EphB6 receptor preceded by the disruption of EphB6-Hsp90 interaction.</w:t>
      </w:r>
    </w:p>
    <w:p>
      <w:pPr>
        <w:pStyle w:val="BodyText"/>
      </w:pPr>
      <w:r>
        <w:t xml:space="preserve">Unknown Authors. (2015). Ligand-induced downregulation of the kinase-dead EphB6 receptor.</w:t>
      </w:r>
    </w:p>
    <w:p>
      <w:pPr>
        <w:pStyle w:val="BodyText"/>
      </w:pPr>
      <w:r>
        <w:t xml:space="preserve">Unknown Authors. (2015). High expression of EphB6 protein in tongue squamous cell carcinoma is associated with a poor outcome.</w:t>
      </w:r>
    </w:p>
    <w:p>
      <w:pPr>
        <w:pStyle w:val="BodyText"/>
      </w:pPr>
      <w:r>
        <w:t xml:space="preserve">Unknown Authors. (2016). Synthetic lethal interactions of EPHB6 in breast cancer cells.</w:t>
      </w:r>
    </w:p>
    <w:p>
      <w:pPr>
        <w:pStyle w:val="BodyText"/>
      </w:pPr>
      <w:r>
        <w:t xml:space="preserve">Unknown Authors. (2021). Analysis of the crosstalk between the EphB6 and ErbB2 receptors in breast cancer cells.</w:t>
      </w:r>
    </w:p>
    <w:p>
      <w:pPr>
        <w:pStyle w:val="BodyText"/>
      </w:pPr>
      <w:r>
        <w:t xml:space="preserve">Unknown Authors. (2021). Functional crosstalk between EphB6 and EGFR.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2025-07-03T23:58:30Z</dcterms:created>
  <dcterms:modified xsi:type="dcterms:W3CDTF">2025-07-03T23:58:30Z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