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MAP3K13 (also called LZK) is an evolutionarily conserved mixed-lineage kinase (MLK). It is the functional ortholog of the</w:t>
      </w:r>
      <w:r>
        <w:t xml:space="preserve"> </w:t>
      </w:r>
      <w:r>
        <w:rPr>
          <w:i/>
          <w:iCs/>
        </w:rPr>
        <w:t xml:space="preserve">C. elegans</w:t>
      </w:r>
      <w:r>
        <w:t xml:space="preserve"> </w:t>
      </w:r>
      <w:r>
        <w:t xml:space="preserve">DLK-1 and is &gt;95 % identical in the kinase domain to human MAP3K12 (DLK) (Yan &amp; Jin, 2012). In the kinome classification of Manning et al. (2002), the enzyme belongs to the mitogen-activated protein kinase kinase kinase (MAP3K/Ste11) family and, more specifically, to the MLK subfamily that includes the dual-leucine-zipper kinases (Gallo &amp; Johnson, 2002; Bensen &amp; Brognard, 2021). Higher-order grouping is inconsistent, with assignments to either the STE or the TKL branch of the kinome (Manning et al., 2002; Johnson et al., 2023).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substrate ⇌ ADP + phospho-protein substrate</w:t>
      </w:r>
      <w:r>
        <w:br/>
      </w:r>
      <w:r>
        <w:t xml:space="preserve">(Bensen &amp; Brognard, 2021; Gallo &amp; Johnson, 2002; Craig et al., 2008)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or Mn²⁺ is required for catalytic activity (Bensen &amp; Brognard, 2021; Gallo &amp; Johnson, 2002).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Kinome-wide profiling places MAP3K13 among kinases that prefer threonine acceptors, a bias linked to an alanine at the DFG+1 position (Johnson et al., 2023). Other studies report preferential phosphorylation of motifs containing hydrophobic leucines near the target residue (Jin &amp; Zheng, 2019) or recognition of canonical S/T-P motifs, as seen for related MLKs (Gallo &amp; Johnson, 2002). Contradictory motif data (+1 glutamine vs. +1 proline preferences) have been noted across different analyses (Johnson et al., 2023; Gallo &amp; Johnson, 2002).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kinase domain, two sequential leucine-zipper (LZ) motifs, and a long C-terminal tail (Jin &amp; Zheng, 2019). LZ-mediated homodimerization is essential for activation. The kinase domain contains subdomains I–VII typical of Ser/Thr kinases and VIII–XI characteristic of Tyr kinases (Jin &amp; Zheng, 2019). A structural model (based on DLK) reveals a canonical bilobal fold but a distorted α-helix C caused by a non-consensus Asp, altering an ATP-coordinating salt bridge (Jin &amp; Zheng, 2019). The activation loop harbors regulatory Ser residues, and the extended C-terminus is required for downstream signaling (Jin &amp; Zheng, 2019).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Activation requires LZ-driven homodimerization and trans-autophosphorylation of the activation loop (Jin &amp; Zheng, 2019; Gallo &amp; Johnson, 2002).</w:t>
      </w:r>
      <w:r>
        <w:br/>
      </w:r>
      <w:r>
        <w:t xml:space="preserve">• Phosphorylation by PKA and AKT further modulates activity (Jin &amp; Zheng, 2019).</w:t>
      </w:r>
      <w:r>
        <w:br/>
      </w:r>
      <w:r>
        <w:t xml:space="preserve">• The E3 ubiquitin ligase RPM-1 negatively regulates the kinase (Chen et al., 2016).</w:t>
      </w:r>
      <w:r>
        <w:br/>
      </w:r>
      <w:r>
        <w:t xml:space="preserve">• An SH3-domain–proline-rich autoinhibitory interaction described for other MLKs is probably retained (Gallo &amp; Johnson, 2002).</w:t>
      </w:r>
      <w:r>
        <w:br/>
      </w:r>
      <w:r>
        <w:t xml:space="preserve">• Rho-family GTPases Rac and Cdc42 can allosterically activate the enzyme (Gallo &amp; Johnson, 2002).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MAP3K13 is broadly expressed, with prominent levels in brain regions (cerebellar granule and hippocampal neurons) and pancreas (Gallo &amp; Johnson, 2002; Chen et al., 2016; Unknown Authors, 2001). Neuronal activity deprivation can trigger its activation (Chen et al., 2016).</w:t>
      </w:r>
      <w:r>
        <w:br/>
      </w:r>
      <w:r>
        <w:t xml:space="preserve">Downstream: directly phosphorylates MKK4/7 to activate the JNK MAPK cascade (Bensen &amp; Brognard, 2021) and stimulates the IKK complex to modulate NF-κB signaling (Bensen &amp; Brognard, 2021).</w:t>
      </w:r>
      <w:r>
        <w:br/>
      </w:r>
      <w:r>
        <w:t xml:space="preserve">Interacting partners include the scaffold JIP-1, which enhances JNK signaling (Unknown Authors, 2001), and mitochondrial AOP-1, which promotes NF-κB activation (Jin &amp; Zheng, 2019).</w:t>
      </w:r>
      <w:r>
        <w:br/>
      </w:r>
      <w:r>
        <w:t xml:space="preserve">Biological roles encompass cellular stress responses, axon growth and branching, and oncogenic processes (Chen et al., 2016; Bensen &amp; Brognard, 2021).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Experimental ATP-competitive inhibitors include:</w:t>
      </w:r>
      <w:r>
        <w:br/>
      </w:r>
      <w:r>
        <w:t xml:space="preserve">• CEP-1347 – pan-MLK inhibitor (Jin &amp; Zheng, 2019).</w:t>
      </w:r>
      <w:r>
        <w:br/>
      </w:r>
      <w:r>
        <w:t xml:space="preserve">• GNE-3511 and GNE-495 – developed for DLK but inhibit MAP3K13 owing to high kinase-domain homology and are brain-penetrant in mice (Jin &amp; Zheng,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MAP3K13 dysregulation is linked to neurodegeneration, multiple cancers, and responses to herpes simplex virus infection (Jin &amp; Zheng, 2019). Pharmacological inhibition shows therapeutic benefit in mouse neurological disease models (Jin &amp; Zheng, 2019). High MAP3K13 expression correlates with improved survival in bladder and lung squamous carcinomas but with poorer survival in pancreatic ductal adenocarcinoma and sarcoma (Nguyen et al., 2022). A Map3k13tm1a mutant mouse line is available for in vivo studies (Chen et al., 2016).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Bensen, R. C., &amp; Brognard, J. (2021). New therapeutic opportunities for the treatment of squamous cell carcinomas: A focus on novel driver kinases.</w:t>
      </w:r>
      <w:r>
        <w:t xml:space="preserve"> </w:t>
      </w:r>
      <w:r>
        <w:rPr>
          <w:i/>
          <w:iCs/>
        </w:rPr>
        <w:t xml:space="preserve">International Journal of Molecular Sciences, 22</w:t>
      </w:r>
      <w:r>
        <w:t xml:space="preserve">, 2831. https://doi.org/10.3390/ijms22062831</w:t>
      </w:r>
    </w:p>
    <w:p>
      <w:pPr>
        <w:pStyle w:val="BodyText"/>
      </w:pPr>
      <w:r>
        <w:t xml:space="preserve">Chen, M., Geoffroy, C. G., Wong, H. N., Tress, O., Nguyen, M. T., Holzman, L. B., Jin, Y., &amp; Zheng, B. (2016). Leucine zipper-bearing kinase promotes axon growth in mammalian central nervous system neurons.</w:t>
      </w:r>
      <w:r>
        <w:t xml:space="preserve"> </w:t>
      </w:r>
      <w:r>
        <w:rPr>
          <w:i/>
          <w:iCs/>
        </w:rPr>
        <w:t xml:space="preserve">Scientific Reports</w:t>
      </w:r>
      <w:r>
        <w:t xml:space="preserve">, 6, 31482. https://doi.org/10.1038/srep31482</w:t>
      </w:r>
    </w:p>
    <w:p>
      <w:pPr>
        <w:pStyle w:val="BodyText"/>
      </w:pPr>
      <w:r>
        <w:t xml:space="preserve">Craig, E. A., Stevens, M. V., Vaillancourt, R. R., &amp; Camenisch, T. D. (2008). MAP3Ks as central regulators of cell fate during development.</w:t>
      </w:r>
      <w:r>
        <w:t xml:space="preserve"> </w:t>
      </w:r>
      <w:r>
        <w:rPr>
          <w:i/>
          <w:iCs/>
        </w:rPr>
        <w:t xml:space="preserve">Developmental Dynamics</w:t>
      </w:r>
      <w:r>
        <w:t xml:space="preserve">, 237(11), 3102–3114. https://doi.org/10.1002/dvdy.21750</w:t>
      </w:r>
    </w:p>
    <w:p>
      <w:pPr>
        <w:pStyle w:val="BodyText"/>
      </w:pPr>
      <w:r>
        <w:t xml:space="preserve">Gallo, K. A., &amp; Johnson, G. L. (2002). Mixed-lineage kinase control of JNK and p38 MAPK pathways.</w:t>
      </w:r>
      <w:r>
        <w:t xml:space="preserve"> </w:t>
      </w:r>
      <w:r>
        <w:rPr>
          <w:i/>
          <w:iCs/>
        </w:rPr>
        <w:t xml:space="preserve">Nature Reviews Molecular Cell Biology, 3</w:t>
      </w:r>
      <w:r>
        <w:t xml:space="preserve">, 663–672. https://doi.org/10.1038/nrm906</w:t>
      </w:r>
    </w:p>
    <w:p>
      <w:pPr>
        <w:pStyle w:val="BodyText"/>
      </w:pPr>
      <w:r>
        <w:t xml:space="preserve">Jin, Y., &amp; Zheng, B. (2019). Multitasking: Dual leucine zipper–bearing kinases in neuronal development and stress management.</w:t>
      </w:r>
      <w:r>
        <w:t xml:space="preserve"> </w:t>
      </w:r>
      <w:r>
        <w:rPr>
          <w:i/>
          <w:iCs/>
        </w:rPr>
        <w:t xml:space="preserve">Annual Review of Cell and Developmental Biology, 35</w:t>
      </w:r>
      <w:r>
        <w:t xml:space="preserve">, 501–521. https://doi.org/10.1146/annurev-cellbio-100617-062644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</w:t>
      </w:r>
      <w:r>
        <w:t xml:space="preserve"> </w:t>
      </w:r>
      <w:r>
        <w:rPr>
          <w:i/>
          <w:iCs/>
        </w:rPr>
        <w:t xml:space="preserve">Nature, 613</w:t>
      </w:r>
      <w:r>
        <w:t xml:space="preserve">, 759–766. https://doi.org/10.1038/s41586-022-05575-3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</w:t>
      </w:r>
      <w:r>
        <w:t xml:space="preserve"> </w:t>
      </w:r>
      <w:r>
        <w:rPr>
          <w:i/>
          <w:iCs/>
        </w:rPr>
        <w:t xml:space="preserve">Science, 298</w:t>
      </w:r>
      <w:r>
        <w:t xml:space="preserve">, 1912–1934. https://doi.org/10.1126/science.1075762</w:t>
      </w:r>
    </w:p>
    <w:p>
      <w:pPr>
        <w:pStyle w:val="BodyText"/>
      </w:pPr>
      <w:r>
        <w:t xml:space="preserve">Nguyen, K., Tran, M. N., Rivera, A., Cheng, T., Windsor, G. O., Chabot, A. B., … Burow, M. E. (2022). MAP3K family review and correlations with patient survival outcomes in various cancer types.</w:t>
      </w:r>
      <w:r>
        <w:t xml:space="preserve"> </w:t>
      </w:r>
      <w:r>
        <w:rPr>
          <w:i/>
          <w:iCs/>
        </w:rPr>
        <w:t xml:space="preserve">Frontiers in Bioscience–Landmark, 27</w:t>
      </w:r>
      <w:r>
        <w:t xml:space="preserve">, 167. https://doi.org/10.31083/j.fbl2705167</w:t>
      </w:r>
    </w:p>
    <w:p>
      <w:pPr>
        <w:pStyle w:val="BodyText"/>
      </w:pPr>
      <w:r>
        <w:t xml:space="preserve">Unknown Authors. (2001). Mixed lineage kinase LZK forms a functional signaling complex with JIP-1, a scaffold protein of the c-Jun NH2-terminal kinase pathway.</w:t>
      </w:r>
      <w:r>
        <w:t xml:space="preserve"> </w:t>
      </w:r>
      <w:r>
        <w:rPr>
          <w:i/>
          <w:iCs/>
        </w:rPr>
        <w:t xml:space="preserve">[Journal information not provided]</w:t>
      </w:r>
      <w:r>
        <w:t xml:space="preserve">.</w:t>
      </w:r>
    </w:p>
    <w:p>
      <w:pPr>
        <w:pStyle w:val="BodyText"/>
      </w:pPr>
      <w:r>
        <w:t xml:space="preserve">Yan, D., &amp; Jin, Y. (2012). Regulation of DLK-1 kinase activity by calcium-mediated dissociation from an inhibitory isoform.</w:t>
      </w:r>
      <w:r>
        <w:t xml:space="preserve"> </w:t>
      </w:r>
      <w:r>
        <w:rPr>
          <w:i/>
          <w:iCs/>
        </w:rPr>
        <w:t xml:space="preserve">Neuron, 76</w:t>
      </w:r>
      <w:r>
        <w:t xml:space="preserve">, 534–548. https://doi.org/10.1016/j.neuron.2012.08.043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2025-07-03T22:33:40Z</dcterms:created>
  <dcterms:modified xsi:type="dcterms:W3CDTF">2025-07-03T22:33:40Z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