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JAK2 is one of four members of the Janus kinase (JAK) subfamily of non-receptor protein tyrosine kinases, together with JAK1, JAK3 and TYK2 (Hubbard, 2018; LaFave &amp; Levine, 2012). Orthologs are conserved across common model organisms, including mouse, rat, chicken, zebrafish and the Drosophila Hop kinase (Sandberg et al., 2007; Lindauer et al., 2001).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phospho-protein-L-tyrosine (Lindauer et al., 2001; Sandberg et al., 2007; Sanz et al., 2011).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cations. JAK2 can use Mg²⁺ or Mn²⁺, with several studies noting a preference for Mn²⁺. The JH2 pseudokinase domain coordinates a single Mg²⁺ via Asn678 and Asp699 (Gabler et al., 2013; Gnanasambandan &amp; Sayeski, 2011; Silvennoinen et al., 2013).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 profiling shows selectivity at residues –1 to +3 around the phospho-acceptor tyrosine, favouring aliphatic hydrophobic residues at –1 and +3 (Yaron-Barir et al., 2024). JAK2 preferentially phosphorylates motifs containing acidic residues (Asp/Glu) at +1 and +3, a pattern present in STAT proteins and many cytokine-receptor tails (Sanz et al., 2011). Kinase-wide clustering places JAK2 in a distinct JAK family group (Yaron-Barir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contains seven Janus homology (JH) regions (JH7–JH1):</w:t>
      </w:r>
    </w:p>
    <w:p>
      <w:pPr>
        <w:pStyle w:val="BodyText"/>
      </w:pPr>
      <w:r>
        <w:t xml:space="preserve">• FERM domain (JH7-JH5) – cytokine-receptor binding</w:t>
      </w:r>
      <w:r>
        <w:br/>
      </w:r>
      <w:r>
        <w:t xml:space="preserve">• SH2-like domain (JH4-JH3) – structural support for receptor interaction</w:t>
      </w:r>
      <w:r>
        <w:br/>
      </w:r>
      <w:r>
        <w:t xml:space="preserve">• Pseudokinase domain (JH2) – autoinhibitory regulator; HRD → HGN variation in catalytic loop</w:t>
      </w:r>
      <w:r>
        <w:br/>
      </w:r>
      <w:r>
        <w:t xml:space="preserve">• Kinase domain (JH1) – catalytic core (Dusa et al., 2010; Hubbard, 2018; Silvennoinen et al., 2013)</w:t>
      </w:r>
    </w:p>
    <w:p>
      <w:pPr>
        <w:pStyle w:val="BodyText"/>
      </w:pPr>
      <w:r>
        <w:t xml:space="preserve">Homology modelling against insulin receptor and FGFR kinases indicates a canonical bilobal tyrosine-kinase fold with an activation loop, catalytic loop, nucleotide-binding loop and αC-helix (Lindauer et al., 2001). The pathogenic V617F mutation in JH2 rigidifies the αC-helix through π-stacking with Phe594/Phe595, promoting constitutive activation (Silvennoinen et al., 2013).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Autoinhibition: JH2 suppresses JH1 in the basal state (Dusa et al., 2010; Hubbard, 2018).</w:t>
      </w:r>
      <w:r>
        <w:br/>
      </w:r>
      <w:r>
        <w:t xml:space="preserve">• Activation: Ligand-induced receptor dimerisation triggers trans-phosphorylation of Y1007/Y1008 in the JH1 activation loop (Dusa et al., 2010; Gabler et al., 2013).</w:t>
      </w:r>
      <w:r>
        <w:br/>
      </w:r>
      <w:r>
        <w:t xml:space="preserve">• Intramolecular phosphorylation: JH2 autophosphorylation at Ser523 and Tyr570 modulates activity; Ser523 is inhibitory (Silvennoinen et al., 2013; Sanz et al., 2011).</w:t>
      </w:r>
      <w:r>
        <w:br/>
      </w:r>
      <w:r>
        <w:t xml:space="preserve">• Deactivation: SHP1, CD45 and SOCS proteins de-phosphorylate or target JAK2 for degradation (Gnanasambandan &amp; Sayeski, 2011; Santos &amp; Verstovsek, 2011).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Ubiquitously expressed, JAK2 couples cytokine receptors lacking intrinsic kinase activity to intracellular signalling (Sandberg et al., 2007; Santos &amp; Verstovsek, 2011).</w:t>
      </w:r>
    </w:p>
    <w:p>
      <w:pPr>
        <w:pStyle w:val="BodyText"/>
      </w:pPr>
      <w:r>
        <w:t xml:space="preserve">Upstream: associates with receptors such as EPOR, TPOR and interferon receptors (Dusa et al., 2010; Hubbard, 2018).</w:t>
      </w:r>
    </w:p>
    <w:p>
      <w:pPr>
        <w:pStyle w:val="BodyText"/>
      </w:pPr>
      <w:r>
        <w:t xml:space="preserve">Downstream: phosphorylates STAT3 and STAT5, which dimerise and translocate to the nucleus; JAK2 also interfaces with MAPK and PI3K pathways (Santos &amp; Verstovsek, 2011).</w:t>
      </w:r>
    </w:p>
    <w:p>
      <w:pPr>
        <w:pStyle w:val="BodyText"/>
      </w:pPr>
      <w:r>
        <w:t xml:space="preserve">Biological roles: indispensable for definitive erythropoiesis, myeloid and megakaryocytic development (Santos &amp; Verstovsek, 2011). Nuclear JAK2 can phosphorylate histone H3 at Tyr41, influencing chromatin state (LaFave &amp; Levine, 2012).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Clinically approved ATP-competitive inhibitors include ruxolitinib, fedratinib and pacritinib (Nair et al., 2023; Vainchenker et al., 2018). Experimental inhibitors such as TG101348 and Z3 have been characterised (Dusa et al., 2010; Sayyah &amp; Sayeski, 2009). Allosteric strategies targeting the kinase–pseudokinase interface are under exploration (Gnanasambandan &amp; Sayeski, 2011).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Gain-of-function mutations drive myeloproliferative neoplasms, most notably V617F in &gt;95 % of polycythaemia vera and ~50 % of essential thrombocythaemia and primary myelofibrosis cases (Silvennoinen et al., 2013). Additional activating mutations occur in the SH2-JH2 linker, and translocations such as TEL-JAK2 generate constitutively active fusion kinases (Gnanasambandan &amp; Sayeski, 2011; Janus kinases in immune cell signaling, 2009).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Dusa, A., Mouton, C., Pecquet, C., Herman, M., &amp; Constantinescu, S. (2010). JAK2 V617F constitutive activation requires JH2 residue F595: A pseudokinase domain target for specific inhibitors.</w:t>
      </w:r>
      <w:r>
        <w:t xml:space="preserve"> </w:t>
      </w:r>
      <w:r>
        <w:rPr>
          <w:i/>
          <w:iCs/>
        </w:rPr>
        <w:t xml:space="preserve">PLoS ONE, 5</w:t>
      </w:r>
      <w:r>
        <w:t xml:space="preserve">(6), e11157. https://doi.org/10.1371/journal.pone.0011157</w:t>
      </w:r>
    </w:p>
    <w:p>
      <w:pPr>
        <w:pStyle w:val="BodyText"/>
      </w:pPr>
      <w:r>
        <w:t xml:space="preserve">Gabler, K., Behrmann, I., &amp; Haan, C. (2013). JAK2 mutants (e.g., JAK2V617F) and their importance as drug targets in myeloproliferative neoplasms.</w:t>
      </w:r>
      <w:r>
        <w:t xml:space="preserve"> </w:t>
      </w:r>
      <w:r>
        <w:rPr>
          <w:i/>
          <w:iCs/>
        </w:rPr>
        <w:t xml:space="preserve">JAK-STAT, 2</w:t>
      </w:r>
      <w:r>
        <w:t xml:space="preserve">(3), e25025. https://doi.org/10.4161/jkst.25025</w:t>
      </w:r>
    </w:p>
    <w:p>
      <w:pPr>
        <w:pStyle w:val="BodyText"/>
      </w:pPr>
      <w:r>
        <w:t xml:space="preserve">Gnanasambandan, K., &amp; Sayeski, P. P. (2011). A structure-function perspective of JAK2 mutations and implications for alternate drug design strategies: The road not taken.</w:t>
      </w:r>
      <w:r>
        <w:t xml:space="preserve"> </w:t>
      </w:r>
      <w:r>
        <w:rPr>
          <w:i/>
          <w:iCs/>
        </w:rPr>
        <w:t xml:space="preserve">Current Medicinal Chemistry, 18</w:t>
      </w:r>
      <w:r>
        <w:t xml:space="preserve">(30), 4659–4673. https://doi.org/10.2174/092986711797379267</w:t>
      </w:r>
    </w:p>
    <w:p>
      <w:pPr>
        <w:pStyle w:val="BodyText"/>
      </w:pPr>
      <w:r>
        <w:t xml:space="preserve">Hubbard, S. R. (2018). Mechanistic insights into regulation of JAK2 tyrosine kinase.</w:t>
      </w:r>
      <w:r>
        <w:t xml:space="preserve"> </w:t>
      </w:r>
      <w:r>
        <w:rPr>
          <w:i/>
          <w:iCs/>
        </w:rPr>
        <w:t xml:space="preserve">Frontiers in Endocrinology, 8</w:t>
      </w:r>
      <w:r>
        <w:t xml:space="preserve">, 361. https://doi.org/10.3389/fendo.2017.00361</w:t>
      </w:r>
    </w:p>
    <w:p>
      <w:pPr>
        <w:pStyle w:val="BodyText"/>
      </w:pPr>
      <w:r>
        <w:t xml:space="preserve">Janus kinases in immune cell signaling. (2009).</w:t>
      </w:r>
      <w:r>
        <w:t xml:space="preserve"> </w:t>
      </w:r>
      <w:r>
        <w:rPr>
          <w:i/>
          <w:iCs/>
        </w:rPr>
        <w:t xml:space="preserve">[Dataset/Report]</w:t>
      </w:r>
      <w:r>
        <w:t xml:space="preserve">.</w:t>
      </w:r>
    </w:p>
    <w:p>
      <w:pPr>
        <w:pStyle w:val="BodyText"/>
      </w:pPr>
      <w:r>
        <w:t xml:space="preserve">LaFave, L. M., &amp; Levine, R. L. (2012). JAK2 the future: Therapeutic strategies for JAK-dependent malignancies.</w:t>
      </w:r>
      <w:r>
        <w:t xml:space="preserve"> </w:t>
      </w:r>
      <w:r>
        <w:rPr>
          <w:i/>
          <w:iCs/>
        </w:rPr>
        <w:t xml:space="preserve">Trends in Pharmacological Sciences, 33</w:t>
      </w:r>
      <w:r>
        <w:t xml:space="preserve">(11), 574–582. https://doi.org/10.1016/j.tips.2012.08.005</w:t>
      </w:r>
    </w:p>
    <w:p>
      <w:pPr>
        <w:pStyle w:val="BodyText"/>
      </w:pPr>
      <w:r>
        <w:t xml:space="preserve">Lindauer, K., Loerting, T., Liedl, K. R., &amp; Kroemer, R. T. (2001). Prediction of the structure of human Janus kinase 2 (JAK2) comprising the two carboxy-terminal domains reveals a mechanism for autoregulation.</w:t>
      </w:r>
      <w:r>
        <w:t xml:space="preserve"> </w:t>
      </w:r>
      <w:r>
        <w:rPr>
          <w:i/>
          <w:iCs/>
        </w:rPr>
        <w:t xml:space="preserve">Protein Engineering, Design and Selection, 14</w:t>
      </w:r>
      <w:r>
        <w:t xml:space="preserve">(1), 27–37. https://doi.org/10.1093/protein/14.1.27</w:t>
      </w:r>
    </w:p>
    <w:p>
      <w:pPr>
        <w:pStyle w:val="BodyText"/>
      </w:pPr>
      <w:r>
        <w:t xml:space="preserve">Nair, P. C., Piehler, J., Tvorogov, D., Ross, D., Lopez, A. F., Gotlib, J., &amp; Thomas, D. (2023). Next-generation JAK2 inhibitors for the treatment of myeloproliferative neoplasms: Lessons from structure-based drug discovery approaches.</w:t>
      </w:r>
      <w:r>
        <w:t xml:space="preserve"> </w:t>
      </w:r>
      <w:r>
        <w:rPr>
          <w:i/>
          <w:iCs/>
        </w:rPr>
        <w:t xml:space="preserve">Blood Cancer Discovery, 4</w:t>
      </w:r>
      <w:r>
        <w:t xml:space="preserve">(3), OF1–OF13. https://doi.org/10.1158/2643-3230.BCD-22-0189</w:t>
      </w:r>
    </w:p>
    <w:p>
      <w:pPr>
        <w:pStyle w:val="BodyText"/>
      </w:pPr>
      <w:r>
        <w:t xml:space="preserve">Sandberg, E. M., Wallace, T. A., Godeny, M. D., VonDer Linden, D., &amp; Sayeski, P. P. (2007). JAK2 tyrosine kinase: A true JAK of all trades?</w:t>
      </w:r>
      <w:r>
        <w:t xml:space="preserve"> </w:t>
      </w:r>
      <w:r>
        <w:rPr>
          <w:i/>
          <w:iCs/>
        </w:rPr>
        <w:t xml:space="preserve">Cell Biochemistry and Biophysics, 41</w:t>
      </w:r>
      <w:r>
        <w:t xml:space="preserve">(2), 207–232. https://doi.org/10.1385/CBB:41:2:207</w:t>
      </w:r>
    </w:p>
    <w:p>
      <w:pPr>
        <w:pStyle w:val="BodyText"/>
      </w:pPr>
      <w:r>
        <w:t xml:space="preserve">Santos, F. P., &amp; Verstovsek, S. (2011). JAK2 inhibitors: What’s the true therapeutic potential?</w:t>
      </w:r>
      <w:r>
        <w:t xml:space="preserve"> </w:t>
      </w:r>
      <w:r>
        <w:rPr>
          <w:i/>
          <w:iCs/>
        </w:rPr>
        <w:t xml:space="preserve">Blood Reviews, 25</w:t>
      </w:r>
      <w:r>
        <w:t xml:space="preserve">(2), 53–63. https://doi.org/10.1016/j.blre.2010.10.004</w:t>
      </w:r>
    </w:p>
    <w:p>
      <w:pPr>
        <w:pStyle w:val="BodyText"/>
      </w:pPr>
      <w:r>
        <w:t xml:space="preserve">Sanz, A., Ungureanu, D., Pekkala, T., Ruijtenbeek, R., Touw, I. P., Hilhorst, R., &amp; Silvennoinen, O. (2011). Analysis of JAK2 catalytic function by peptide microarrays: The role of the JH2 domain and V617F mutation.</w:t>
      </w:r>
      <w:r>
        <w:t xml:space="preserve"> </w:t>
      </w:r>
      <w:r>
        <w:rPr>
          <w:i/>
          <w:iCs/>
        </w:rPr>
        <w:t xml:space="preserve">PLoS ONE, 6</w:t>
      </w:r>
      <w:r>
        <w:t xml:space="preserve">(4), e18522. https://doi.org/10.1371/journal.pone.0018522</w:t>
      </w:r>
    </w:p>
    <w:p>
      <w:pPr>
        <w:pStyle w:val="BodyText"/>
      </w:pPr>
      <w:r>
        <w:t xml:space="preserve">Sayyah, J., &amp; Sayeski, P. P. (2009). JAK2 inhibitors: Rationale and role as therapeutic agents in haematologic malignancies.</w:t>
      </w:r>
      <w:r>
        <w:t xml:space="preserve"> </w:t>
      </w:r>
      <w:r>
        <w:rPr>
          <w:i/>
          <w:iCs/>
        </w:rPr>
        <w:t xml:space="preserve">Current Oncology Reports, 11</w:t>
      </w:r>
      <w:r>
        <w:t xml:space="preserve">(2), 117–124. https://doi.org/10.1007/s11912-009-0018-2</w:t>
      </w:r>
    </w:p>
    <w:p>
      <w:pPr>
        <w:pStyle w:val="BodyText"/>
      </w:pPr>
      <w:r>
        <w:t xml:space="preserve">Silvennoinen, O., Ungureanu, D., Niranjan, Y., Hammaren, H., Bandaranayake, R., &amp; Hubbard, S. R. (2013). New insights into the structure and function of the pseudokinase domain in JAK2.</w:t>
      </w:r>
      <w:r>
        <w:t xml:space="preserve"> </w:t>
      </w:r>
      <w:r>
        <w:rPr>
          <w:i/>
          <w:iCs/>
        </w:rPr>
        <w:t xml:space="preserve">Biochemical Society Transactions, 41</w:t>
      </w:r>
      <w:r>
        <w:t xml:space="preserve">(4), 1002–1007. https://doi.org/10.1042/BST20130005</w:t>
      </w:r>
    </w:p>
    <w:p>
      <w:pPr>
        <w:pStyle w:val="BodyText"/>
      </w:pPr>
      <w:r>
        <w:t xml:space="preserve">Vainchenker, W., Leroy, E., Gilles, L., Marty, C., Plo, I., &amp; Constantinescu, S. N. (2018). JAK inhibitors for the treatment of myeloproliferative neoplasms and other disorders.</w:t>
      </w:r>
      <w:r>
        <w:t xml:space="preserve"> </w:t>
      </w:r>
      <w:r>
        <w:rPr>
          <w:i/>
          <w:iCs/>
        </w:rPr>
        <w:t xml:space="preserve">F1000Research, 7</w:t>
      </w:r>
      <w:r>
        <w:t xml:space="preserve">, 82. https://doi.org/10.12688/f1000research.13167.1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</w:t>
      </w:r>
      <w:r>
        <w:t xml:space="preserve"> </w:t>
      </w:r>
      <w:r>
        <w:rPr>
          <w:i/>
          <w:iCs/>
        </w:rPr>
        <w:t xml:space="preserve">Nature, 629</w:t>
      </w:r>
      <w:r>
        <w:t xml:space="preserve">(8004), 1174–1181. https://doi.org/10.1038/s41586-024-07407-y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2025-07-03T21:30:48Z</dcterms:created>
  <dcterms:modified xsi:type="dcterms:W3CDTF">2025-07-03T21:30:48Z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