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 and stress-activated protein kinase-1 (MSK1, RPS6KA5) is assigned to the AGC kinase group, RSK family, MSK subfamily of the human kinome (Arencibia et al., 2013). Its N-terminal kinase domain (NTKD) clusters with p70 S6K/p90 RSK isoforms, whereas the C-terminal kinase domain (CTKD) aligns with CaMK/MK2/3, indicating a dual evolutionary origin (Cargnello &amp; Roux, 2011). MSK1 shares ~75 % sequence identity with the paralogue MSK2 and ~40 % with p90 RSKs (Roux &amp; Blenis, 2004). Orthologues occur in zebrafish, Xenopus, Drosophila (JIL-1) and C. elegans, with Drosophila JIL-1 displaying 60–63 % identity over both kinase domains, defining a conserved MSK/JIL-1 clade (Chen,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→ ADP + protein-O-phospho-L-Ser/Thr (Deák et al., 1998).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(Cargnello &amp; Roux,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preference: R/K-X-X-S</w:t>
      </w:r>
      <w:r>
        <w:rPr>
          <w:i/>
          <w:iCs/>
        </w:rPr>
        <w:t xml:space="preserve">/T</w:t>
      </w:r>
      <w:r>
        <w:t xml:space="preserve"> </w:t>
      </w:r>
      <w:r>
        <w:t xml:space="preserve">with an obligatory basic residue at position −3; kinase-wide profiling confirms enrichment for Arg/Lys at −3 and little constraint at +1 (Roux &amp; Blenis, 2004; Cargnello &amp; Roux,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MSK1 is an 802-residue protein comprising an NTKD of the AGC fold, a linker harbouring a hydrophobic-motif Ser360 and MAPK docking site, and a CaMK-like CTKD followed by a bipartite nuclear localisation signal (Roux &amp; Blenis, 2004). Both kinase domains contain conserved VAIK, HRD and DFG motifs; models and RSK homology reveal intact C-helix and regulatory spine (Arencibia et al., 2013). The isolated NTKD crystallises in the canonical bilobal fold with a properly assembled regulatory spine (McCoy et al., 2005). Phosphorylation of Ser212 (NTKD) and Thr581 (CTKD) aligns the spine for catalysis (McCoy et al., 2005). A full-length structure is unresolved, but modelling suggests an autoinhibitory interface that is relieved by MAPK-dependent phosphorylation (Ikuta et al.,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ERK1/2 or p38 dock to the C-terminus and phosphorylate Ser360 and Thr581, triggering CTKD activation (McCoy et al., 2005).</w:t>
      </w:r>
      <w:r>
        <w:br/>
      </w:r>
      <w:r>
        <w:t xml:space="preserve">• CTKD then autophosphorylates Ser376, Ser381 and NTKD Ser212 for full activation (McCoy et al., 2005).</w:t>
      </w:r>
      <w:r>
        <w:br/>
      </w:r>
      <w:r>
        <w:t xml:space="preserve">• Active NTKD phosphorylates Ser750, Ser752, Ser758 and Thr700; phosphorylation of Thr700 protects Thr581 from phosphatases, stabilising activity (McCoy et al., 2007).</w:t>
      </w:r>
      <w:r>
        <w:br/>
      </w:r>
      <w:r>
        <w:t xml:space="preserve">• 14-3-3 proteins modulate function, although the mechanism is not yet defined (Arencibia et al., 2013).</w:t>
      </w:r>
      <w:r>
        <w:br/>
      </w:r>
      <w:r>
        <w:t xml:space="preserve">• Specific phosphatases remain unidentified (Cargnello &amp; Roux, 2011).</w:t>
      </w:r>
      <w:r>
        <w:br/>
      </w:r>
      <w:r>
        <w:t xml:space="preserve">• Upstream MEK inhibitors (PD98059, U0126, PD184352) and the p38 inhibitor SB203580 prevent the priming phosphorylations and block activation (Deák et al., 1998).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MSK1 is ubiquitously expressed, with highest levels in brain, heart, placenta and skeletal muscle; the NLS confers constitutive nuclear localisation (Roux &amp; Blenis, 2004). Mitogens (e.g., EGF, phorbol esters) and stresses (UV-C, anisomycin, oxidative stress) activate ERK/p38, which converge on MSK1 (Deák et al., 1998). Nuclear substrates include CREB1 Ser133, ATF1, NF-κB p65 Ser276, STAT3, ETV1, histone H3 Ser10/Ser28 and HMG-14 Ser6, thereby promoting immediate-early gene transcription (Roux &amp; Blenis, 2004). MSK1 competes with RSKs for ERK binding and influences nuclear localisation of upstream MAPKs (McCoy et al., 2005). Msk1⁻/⁻ mice show age-related neurodegeneration, while Msk1/2 double knockouts exhibit hyper-inflammation and cognitive deficits, underscoring roles in neuronal integrity and immune regulation (Chen,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Direct: SB-747651A, H89, BI-D1870, staurosporine, purvalanol A inhibit MSK1 with varying selectivity (Arencibia et al., 2013; Chen, 2017; Ikuta et al., 2007).</w:t>
      </w:r>
      <w:r>
        <w:br/>
      </w:r>
      <w:r>
        <w:t xml:space="preserve">Upstream: SB203580 (p38) and MEK inhibitors PD98059, U0126, PD184352 block activating phosphorylations (McCoy et al., 2005; Deák et al., 1998).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MSK1 forms part of a negative-feedback loop that limits pro-inflammatory cytokine production downstream of Toll-like receptor signalling and has been linked to neurodegenerative and inflammatory diseases, highlighting therapeutic potential (Arencibia et al., 2013; Chen, 2017; Cargnello &amp; Roux, 2011).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Arencibia, J. M., Pastor-Flores, D., Bauer, A. F., Schulze, J. O., &amp; Biondi, R. M. (2013). AGC protein kinases: From structural mechanism of regulation to allosteric drug development for the treatment of human diseases. Biochimica et Biophysica Acta (BBA) – Proteins and Proteomics, 1834, 1302–1321. https://doi.org/10.1016/j.bbapap.2013.03.010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Chen, C. (2017). Interphase histone H3 serine 10 phosphorylation in mouse embryonic stem cells. https://doi.org/10.14288/1.0351987</w:t>
      </w:r>
    </w:p>
    <w:p>
      <w:pPr>
        <w:pStyle w:val="BodyText"/>
      </w:pPr>
      <w:r>
        <w:t xml:space="preserve">Deák, M., Clifton, A., Lucocq, J. M., &amp; Alessi, D. (1998). Mitogen- and stress-activated protein kinase-1 (MSK1) is directly activated by MAPK and SAPK2/p38, and may mediate activation of CREB. The EMBO Journal, 17, 4426–4441. https://doi.org/10.1093/emboj/17.15.4426</w:t>
      </w:r>
    </w:p>
    <w:p>
      <w:pPr>
        <w:pStyle w:val="BodyText"/>
      </w:pPr>
      <w:r>
        <w:t xml:space="preserve">Ikuta, M., Kornienko, M., Byrne, N., Reid, J. C., Mizuarai, S., Kotani, H., &amp; Munshi, S. K. (2007). Crystal structures of the N-terminal kinase domain of human RSK1 bound to three different ligands: Implications for the design of RSK1-specific inhibitors. Protein Science, 16, 2626–2635. https://doi.org/10.1110/ps.073123707</w:t>
      </w:r>
    </w:p>
    <w:p>
      <w:pPr>
        <w:pStyle w:val="BodyText"/>
      </w:pPr>
      <w:r>
        <w:t xml:space="preserve">McCoy, C., Campbell, D. G., Deák, M., Bloomberg, G., &amp; Arthur, J. S. C. (2005). MSK1 activity is controlled by multiple phosphorylation sites. Biochemical Journal, 387, 507–517. https://doi.org/10.1042/BJ20041501</w:t>
      </w:r>
    </w:p>
    <w:p>
      <w:pPr>
        <w:pStyle w:val="BodyText"/>
      </w:pPr>
      <w:r>
        <w:t xml:space="preserve">McCoy, C. E., Macdonald, A., Morrice, N. A., Campbell, D. G., Deak, M., Toth, R., McIlrath, J., &amp; Arthur, J. S. C. (2007). Identification of novel phosphorylation sites in MSK1 by precursor ion scanning MS. Biochemical Journal, 402, 491–501. https://doi.org/10.1042/BJ20061183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2025-07-03T18:17:33Z</dcterms:created>
  <dcterms:modified xsi:type="dcterms:W3CDTF">2025-07-03T18:17:33Z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