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TRIO is an evolutionarily conserved, multidomain signalling protein. Orthologs are found in invertebrates (UNC-73 in Caenorhabditis elegans; D-Trio in Drosophila) and a single vertebrate paralog, Kalirin, is present (Schmidt &amp; Debant, 2014). The N-terminal protein-kinase domain forms a distinct clade that groups with the N-terminal kinase regions of Obscurin/SPEG proteins and shows similarity to the myosin light-chain kinase (MLCK) subgroup (Unknown Authors, 2025, pp. 64–69). Placement of the kinase within the human kinome is debated: it has been assigned to the tyrosine-kinase-like (TKL), atypical, CMGC, or STE groups in different surveys (Debant et al., 1996; Hunter &amp; Manning, 2015). Aside from the kinase, TRIO belongs to the Dbl family of Rho guanine nucleotide-exchange factors (RhoGEFs) (Schmidt &amp; Debant,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→ ADP + protein-O-phospho-L-Ser/Thr (Unknown Authors, 2025, pp. 64–69; Hunter &amp; Manning, 2015).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ATP and divalent cations, typically Mg²⁺ or Mn²⁺ (Debant et al., 1996; Hunter &amp; Manning, 2015; Unknown Authors, 2025, pp. 64–69).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GEF activity: the N-terminal GEF (GEFD1/TrioN) activates Rac1 and RhoG, whereas the C-terminal GEF (GEFD2/TrioC) activates RhoA (Schmidt &amp; Debant, 2014; Katrancha et al., 2017).</w:t>
      </w:r>
      <w:r>
        <w:br/>
      </w:r>
      <w:r>
        <w:t xml:space="preserve">• Kinase activity: TRIO phosphorylates myosin light chain and other cytoskeletal proteins in vitro; preferred sites are reported to contain basic residues flanking the phospho-acceptor (Debant et al., 1996; Unknown Authors, 2025, pp. 44–46). An unbiased consensus was not identified in the Johnson et al. (2023) kinase-substrate atlas.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TRIO is a ~324–330 kDa protein composed of an N-terminal Sec14/Cral-Trio lipid-binding module, nine spectrin repeats (S1–S9), two tandem DH-PH GEF modules, a serine/threonine protein-kinase domain and several accessory motifs (two SH3 domains, an Ig-like domain) (Debant et al., 1996; Schmidt &amp; Debant, 2014; Bandekar et al., 2022).</w:t>
      </w:r>
      <w:r>
        <w:br/>
      </w:r>
      <w:r>
        <w:t xml:space="preserve">• Spectrin repeats provide an elongated scaffold; the central catalytic region is globular (Bandekar et al., 2022).</w:t>
      </w:r>
      <w:r>
        <w:br/>
      </w:r>
      <w:r>
        <w:t xml:space="preserve">• Crystal structure of the TrioC DH-PH tandem reveals an autoinhibited conformation where the PH domain blocks RhoA access to the DH domain; the αN helix stabilises this interface (Bandekar et al., 2019).</w:t>
      </w:r>
      <w:r>
        <w:br/>
      </w:r>
      <w:r>
        <w:t xml:space="preserve">• Cryo-EM and AlphaFold models support this configuration and delineate conserved, flexible linker segments that modulate activity (Bandekar et al., 2022; Unknown Authors, 2025, pp. 148–151).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Post-translational modification: TRIO is phosphorylated only on serine residues; PKC activation enhances phosphorylation (Debant et al., 1996). Tyrosine phosphorylation has not been detected (Schmidt &amp; Debant, 2014).</w:t>
      </w:r>
      <w:r>
        <w:br/>
      </w:r>
      <w:r>
        <w:t xml:space="preserve">• Autoinhibition: both GEF units adopt intramolecularly inhibited states. TrioC autoinhibition is relieved by activated Gαq/11, while spectrin repeats and disordered linkers suppress TrioN until displaced by partner proteins such as DISC1 (Bandekar et al., 2019; Bandekar et al., 2022; Schmidt &amp; Debant,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TRIO acts as a signalling hub linking upstream cues to cytoskeletal reorganisation.</w:t>
      </w:r>
      <w:r>
        <w:br/>
      </w:r>
      <w:r>
        <w:t xml:space="preserve">• Expression: ubiquitous but highest in neural tissue, skeletal muscle, heart and immune cells; brain-restricted isoforms (e.g., TRIO9, TrioA-E) predominate (Schmidt &amp; Debant, 2014; Katrancha et al., 2017; Unknown Authors, 2025, pp. 44–46).</w:t>
      </w:r>
      <w:r>
        <w:br/>
      </w:r>
      <w:r>
        <w:t xml:space="preserve">• Upstream regulators: Gαq/11-coupled GPCRs, the LAR receptor phosphatase, and the NOTCH–DAB1–ABL axis (Bandekar et al., 2019; Schmidt &amp; Debant, 2014; Unknown Authors, 2025, pp. 148–151).</w:t>
      </w:r>
      <w:r>
        <w:br/>
      </w:r>
      <w:r>
        <w:t xml:space="preserve">• Interacting partners: DISC1, Kidins220/ARMS, Piccolo, Bassoon (Schmidt &amp; Debant, 2014; Tao et al., 2020; Unknown Authors, 2025, pp. 148–151).</w:t>
      </w:r>
      <w:r>
        <w:br/>
      </w:r>
      <w:r>
        <w:t xml:space="preserve">• Downstream effectors: activates Rac1, RhoG and RhoA to control cell motility, adhesion, axon guidance and morphogenesis (Schmidt &amp; Debant, 2014; Katrancha et al., 2017; Tao et al., 2020).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Germline and somatic TRIO variants are linked to human disease.</w:t>
      </w:r>
      <w:r>
        <w:br/>
      </w:r>
      <w:r>
        <w:t xml:space="preserve">• Neurodevelopmental disorders: de novo mutations (e.g., K1431M, R1428Q, P1461T, M2145T) alter GEF activity and associate with autism, schizophrenia, intellectual disability and bipolar disorder (Katrancha et al., 2017; Pengelly et al., 2016).</w:t>
      </w:r>
      <w:r>
        <w:br/>
      </w:r>
      <w:r>
        <w:t xml:space="preserve">• Cancer: elevated TRIO expression and mutations that disrupt TrioC autoinhibition enhance RhoA signalling in uveal melanoma; the truncated oncogenic isoform “Tgat” (RhoA-specific DH only) occurs in adult T-cell leukaemia (Schmidt &amp; Debant, 2014; Bandekar et al., 2019).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Bandekar, S. J., Arang, N., Tully, E. S., Tang, B. A., Barton, B. L., Li, S., Gutkind, J. S., &amp; Tesmer, J. J. G. (2019). Structure of the C-terminal guanine nucleotide exchange factor module of Trio in an autoinhibited conformation reveals its oncogenic potential. Science Signaling, 12(570), eaav2449. https://doi.org/10.1126/scisignal.aav2449</w:t>
      </w:r>
    </w:p>
    <w:p>
      <w:pPr>
        <w:pStyle w:val="BodyText"/>
      </w:pPr>
      <w:r>
        <w:t xml:space="preserve">Bandekar, S. J., Chen, C.-L., Ravala, S. K., Cash, J. N., Avramova, L. V., Zhalnina, M. V., Gutkind, J. S., Li, S., &amp; Tesmer, J. J. G. (2022). Structural/functional studies of Trio provide insights into its configuration and show that conserved linker elements enhance its activity for Rac1. Journal of Biological Chemistry, 298, 102209. https://doi.org/10.1016/j.jbc.2022.102209</w:t>
      </w:r>
    </w:p>
    <w:p>
      <w:pPr>
        <w:pStyle w:val="BodyText"/>
      </w:pPr>
      <w:r>
        <w:t xml:space="preserve">Debant, A., Serra-Pagès, C., Seipel, K., O’Brien, S. J., Tang, M., Park, S., &amp; Streuli, M. (1996). The multidomain protein Trio binds the LAR transmembrane tyrosine phosphatase, contains a protein kinase domain, and has separate Rac-specific and Rho-specific guanine nucleotide exchange factor domains. Proceedings of the National Academy of Sciences of the United States of America, 93(11), 5466–5471. https://doi.org/10.1073/pnas.93.11.5466</w:t>
      </w:r>
    </w:p>
    <w:p>
      <w:pPr>
        <w:pStyle w:val="BodyText"/>
      </w:pPr>
      <w:r>
        <w:t xml:space="preserve">Hunter, T., &amp; Manning, G. (2015). The eukaryotic protein kinase superfamily and the emergence of receptor tyrosine kinases. In Receptor Tyrosine Kinases: Structure, Functions and Role in Human Disease (pp. 1–15). Springer. https://doi.org/10.1007/978-1-4939-2053-2_1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Katrancha, S. M., Weinberger, R., &amp; de la Torre-Ubieta, L. (2017). Neurodevelopmental disease-associated de novo mutations in Trio impair Rac1 activation. Human Molecular Genetics, 26(3), 712–723.</w:t>
      </w:r>
    </w:p>
    <w:p>
      <w:pPr>
        <w:pStyle w:val="BodyText"/>
      </w:pPr>
      <w:r>
        <w:t xml:space="preserve">Pengelly, R. J., Greville-Heygate, S., Schmidt, S., Seaby, E., Jabalameli, M. R., Mehta, S. G., … Baralle, D. (2016). Mutations specific to the Rac-GEF domain of Trio cause intellectual disability and microcephaly. Journal of Medical Genetics, 53(10), 735–742. https://doi.org/10.1136/jmedgenet-2016-103942</w:t>
      </w:r>
    </w:p>
    <w:p>
      <w:pPr>
        <w:pStyle w:val="BodyText"/>
      </w:pPr>
      <w:r>
        <w:t xml:space="preserve">Schmidt, S., &amp; Debant, A. (2014). Function and regulation of the Rho guanine nucleotide exchange factor Trio. Small GTPases, 5(6), e29769. https://doi.org/10.4161/sgtp.29769</w:t>
      </w:r>
    </w:p>
    <w:p>
      <w:pPr>
        <w:pStyle w:val="BodyText"/>
      </w:pPr>
      <w:r>
        <w:t xml:space="preserve">Tao, T., Sun, J., &amp; Zhu, M.-S. (2020). The triple functional domain protein Trio with multiple functions in the nervous system. Journal of Neuroscience Research, 98(5), 828–840. https://doi.org/10.29245/2572.942X/2019/1.1263</w:t>
      </w:r>
    </w:p>
    <w:p>
      <w:pPr>
        <w:pStyle w:val="BodyText"/>
      </w:pPr>
      <w:r>
        <w:t xml:space="preserve">Unknown Authors. (2025). Variant impact prediction in the obscurin and Trio protein families through evolutionary conservation and structural analysis (pp. 44–69, 148–151).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2025-07-03T17:50:44Z</dcterms:created>
  <dcterms:modified xsi:type="dcterms:W3CDTF">2025-07-03T17:50:44Z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