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CDKL5 is a serine/threonine kinase of the CMGC group, clustering with CDKs, MAPKs, GSKs and CLKs (Van Bergen et al., 2022, pp. 1-4; Johnson et al., 2023, p. 4). The human CDKL subfamily contains five paralogues (CDKL1-5). Phylogenetic reconstruction places an ancestral CDKL5-like kinase in the last eukaryotic common ancestor, with the earliest split separating the CDKL5 branch from the remaining CDKL proteins (Martín-Carrascosa et al., 2025, pp. 1-10). Orthologues are strongly conserved in major model species, including mouse, zebrafish and Drosophila (Van Bergen et al., 2022, pp. 2-4; Martín-Carrascosa et al., 2025, pp. 1-2).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Protein-OH + ATP ⇌ Protein-O-PO₃²⁻ + ADP (Van Bergen et al., 2022, pp. 1-2; Katayama et al., 2020, pp. 1-2).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Requires ATP as phosphate donor and divalent metal ions Mg²⁺ or Mn²⁺ for catalysis (Katayama et al., 2020, pp. 1-2; Martín-Carrascosa et al., 2025, pp. 8-10).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CDKL5 is proline-directed, showing strong preference for Pro at the +1 position. The experimentally defined consensus motif is Arg-Pro-X-Ser/Thr-Ala/Pro/Gly/Ser, with small uncharged residues C-terminal to the phospho-site (Van Bergen et al., 2022, pp. 4-5; Johnson et al., 2023, p. 4; Katayama et al., 2020, pp. 4-6).</w:t>
      </w:r>
    </w:p>
    <w:p>
      <w:pPr>
        <w:pStyle w:val="BodyText"/>
      </w:pPr>
      <w:r>
        <w:t xml:space="preserve">Structure</w:t>
      </w:r>
      <w:r>
        <w:br/>
      </w:r>
      <w:r>
        <w:t xml:space="preserve">The 1030-residue protein contains an N-terminal kinase domain (aa 1-297) harbouring the ATP-binding pocket, catalytic and hydrophobic spines, and a TEY activation-loop motif; the long C-terminal region carries nuclear localisation (NLS) and export (NES) signals (Van Bergen et al., 2022, pp. 2-4; Unknown Authors, 2022, pp. 46-50). A crystal structure of the human kinase domain is available (PDB 4BGQ) and full-length AlphaFold prediction exists (UniProt O76039) (Van Bergen et al., 2022, pp. 2-4; Rout et al., 2019, pp. 1-4).</w:t>
      </w:r>
    </w:p>
    <w:p>
      <w:pPr>
        <w:pStyle w:val="BodyText"/>
      </w:pPr>
      <w:r>
        <w:t xml:space="preserve">Regulation</w:t>
      </w:r>
      <w:r>
        <w:br/>
      </w:r>
      <w:r>
        <w:t xml:space="preserve">• Autophosphorylation on Tyr175 and Ser178 within the activation loop modulates activity (Van Bergen et al., 2022, pp. 2-4).</w:t>
      </w:r>
      <w:r>
        <w:br/>
      </w:r>
      <w:r>
        <w:t xml:space="preserve">• DYRK1A phosphorylates Ser308, promoting cytosolic retention (Medici, 2019, pp. 30-32; Unknown Authors, 2018, pp. 26-28).</w:t>
      </w:r>
      <w:r>
        <w:br/>
      </w:r>
      <w:r>
        <w:t xml:space="preserve">• Nuclear-cytoplasmic shuttling is controlled by the NLS/NES motifs and is developmentally regulated (Van Bergen et al., 2022, pp. 2-4; Medici, 2019, pp. 30-32).</w:t>
      </w:r>
      <w:r>
        <w:br/>
      </w:r>
      <w:r>
        <w:t xml:space="preserve">• Prolonged extrasynaptic NMDA receptor activation triggers dephosphorylation and proteasomal degradation (Unknown Authors, 2018, pp. 26-28).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Expression Highly enriched in cortical, hippocampal and cerebellar glutamatergic and GABAergic neurons; low in glia. Levels rise post-natally and remain high in adulthood (Van Bergen et al., 2022, pp. 1-2; Unknown Authors, 2024, pp. 22-26).</w:t>
      </w:r>
    </w:p>
    <w:p>
      <w:pPr>
        <w:pStyle w:val="BodyText"/>
      </w:pPr>
      <w:r>
        <w:t xml:space="preserve">Substrates / Partners </w:t>
      </w:r>
      <w:r>
        <w:t xml:space="preserve"> </w:t>
      </w:r>
      <w:r>
        <w:t xml:space="preserve">– Nuclear: MeCP2, DNMT1, HDAC4, SMAD3, SOX9, EP400, TTDN1</w:t>
      </w:r>
      <w:r>
        <w:br/>
      </w:r>
      <w:r>
        <w:t xml:space="preserve">– Cytoplasmic: NGL-1, PSD-95, Amph1, Shootin1, MAP1S, EB2, ARHGEF2, CEP131</w:t>
      </w:r>
      <w:r>
        <w:br/>
      </w:r>
      <w:r>
        <w:t xml:space="preserve">– Interacting protein: IQGAP1</w:t>
      </w:r>
      <w:r>
        <w:br/>
      </w:r>
      <w:r>
        <w:t xml:space="preserve">(Van Bergen et al., 2022, pp. 11-14; Zhu &amp; Xiong, 2019, pp. 7-9; Unknown Authors, 2021, pp. 14-17)</w:t>
      </w:r>
    </w:p>
    <w:p>
      <w:pPr>
        <w:pStyle w:val="BodyText"/>
      </w:pPr>
      <w:r>
        <w:t xml:space="preserve">Biological roles Regulates transcription, RNA processing, dendritic arborisation, synaptic plasticity, ciliogenesis and cell-cycle related events. Influences BDNF-Rac1, Akt/GSK3β and Akt/mTOR signalling cascades (Van Bergen et al., 2022, pp. 1-2; Medici, 2019, pp. 30-32; Zhu &amp; Xiong, 2019, pp. 7-9).</w:t>
      </w:r>
    </w:p>
    <w:p>
      <w:pPr>
        <w:pStyle w:val="BodyText"/>
      </w:pPr>
      <w:r>
        <w:t xml:space="preserve">Inhibitors</w:t>
      </w:r>
      <w:r>
        <w:br/>
      </w:r>
      <w:r>
        <w:t xml:space="preserve">No small-molecule inhibitors are described in the provided text.</w:t>
      </w:r>
    </w:p>
    <w:p>
      <w:pPr>
        <w:pStyle w:val="BodyText"/>
      </w:pPr>
      <w:r>
        <w:t xml:space="preserve">Other Comments</w:t>
      </w:r>
      <w:r>
        <w:br/>
      </w:r>
      <w:r>
        <w:t xml:space="preserve">Pathogenic loss-of-function variants in the X-linked CDKL5 gene cause CDKL5 Deficiency Disorder, characterised by early-onset, drug-resistant seizures and severe neurodevelopmental delay; most mutations are de novo and impair catalytic activity (Van Bergen et al., 2022, pp. 1-2).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FirstParagraph"/>
      </w:pPr>
      <w:r>
        <w:t xml:space="preserve">Katayama, S., Sueyoshi, N., Inazu, T., &amp; Kameshita, I. (2020). Cyclin-dependent kinase-like 5: Possible cellular signalling targets and involvement in CDKL5 deficiency disorder. Neural Plasticity. https://doi.org/10.1155/2020/6970190</w:t>
      </w:r>
    </w:p>
    <w:p>
      <w:pPr>
        <w:pStyle w:val="BodyText"/>
      </w:pPr>
      <w:r>
        <w:t xml:space="preserve">Martín-Carrascosa, M. d. C., Palacios-Martínez, C., &amp; Galindo, M. I. (2025). A phylogenetic analysis of the CDKL protein family unravels its evolutionary history and supports the Drosophila model of CDKL5 deficiency disorder. Frontiers in Cell and Developmental Biology. https://doi.org/10.3389/fcell.2025.1582684</w:t>
      </w:r>
    </w:p>
    <w:p>
      <w:pPr>
        <w:pStyle w:val="BodyText"/>
      </w:pPr>
      <w:r>
        <w:t xml:space="preserve">Medici, G. (2019). New insight into CDKL5 deficiency disorder pathomechanism: Phosphoproteomic profiling identifies SMAD3 as a novel downstream target of CDKL5 (Doctoral dissertation). https://doi.org/10.6092/unibo/amsdottorato/9147</w:t>
      </w:r>
    </w:p>
    <w:p>
      <w:pPr>
        <w:pStyle w:val="BodyText"/>
      </w:pPr>
      <w:r>
        <w:t xml:space="preserve">Rout, A. K., Mishra, J., Dehury, B., Maharana, J., Acharya, V., Karna, S. K., … Das, B. K. (2019). Structural bioinformatics insights into ATP binding mechanism in zebrafish cyclin-dependent kinase-like 5. Journal of Cellular Biochemistry, 120, 9437–9447. https://doi.org/10.1002/jcb.28219</w:t>
      </w:r>
    </w:p>
    <w:p>
      <w:pPr>
        <w:pStyle w:val="BodyText"/>
      </w:pPr>
      <w:r>
        <w:t xml:space="preserve">Van Bergen, N. J., Massey, S., Quigley, A., Rollo, B., Harris, A. R., Kapsa, R., &amp; Christodoulou, J. (2022). CDKL5 deficiency disorder: Molecular insights and mechanisms of pathogenicity to fast-track therapeutic development. Biochemical Society Transactions, 50, 1207–1224. https://doi.org/10.1042/BST20220791</w:t>
      </w:r>
    </w:p>
    <w:p>
      <w:pPr>
        <w:pStyle w:val="BodyText"/>
      </w:pPr>
      <w:r>
        <w:t xml:space="preserve">Unknown Authors. (2018). Novel CDKL5 substrates and functions in neurodevelopment (pp. 26–28).</w:t>
      </w:r>
    </w:p>
    <w:p>
      <w:pPr>
        <w:pStyle w:val="BodyText"/>
      </w:pPr>
      <w:r>
        <w:t xml:space="preserve">Unknown Authors. (2021). Caratterizzazione di un nuovo ruolo di CDKL5 nella sinapsi inibitoria (pp. 14–17).</w:t>
      </w:r>
    </w:p>
    <w:p>
      <w:pPr>
        <w:pStyle w:val="BodyText"/>
      </w:pPr>
      <w:r>
        <w:t xml:space="preserve">Unknown Authors. (2022). Regolazione dell’espressione di CDKL5 e sua rilevanza nel CDKL5 Deficiency Disorder (pp. 46–50).</w:t>
      </w:r>
    </w:p>
    <w:p>
      <w:pPr>
        <w:pStyle w:val="BodyText"/>
      </w:pPr>
      <w:r>
        <w:t xml:space="preserve">Unknown Authors. (2024). Role of neuroinflammation in the pathophysiology of CDKL5 deficiency disorder (pp. 22–26).</w:t>
      </w:r>
    </w:p>
    <w:p>
      <w:pPr>
        <w:pStyle w:val="BodyText"/>
      </w:pPr>
      <w:r>
        <w:t xml:space="preserve">Zhu, Y.-C., &amp; Xiong, Z.-Q. (2019). Molecular and synaptic bases of CDKL5 disorder. Developmental Neurobiology, 79, 8–19. https://doi.org/10.1002/dneu.22639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2025-07-03T21:58:06Z</dcterms:created>
  <dcterms:modified xsi:type="dcterms:W3CDTF">2025-07-03T21:58:06Z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