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PRKD3 is one of three vertebrate Protein Kinase D paralogs. It branches earlier than PKD1 and PKD2, forming a distinct lineage within the family (Reinhardt et al., 2020, pp. 1-3). In the Manning kinome, all PKDs, including PRKD3, are allocated to the CAMK group, PKD subfamily (Reinhardt et al., 2020, pp. 1-3). A large-scale multi-omics study instead assigns PRKD3 to the AGC kinase group, underscoring a classification discrepancy (Unknown Authors, 2021, pp. 19-25). No curated list of non-mammalian orthologs is provided (Reinhardt et al., 2020, pp. 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protein-Ser/Thr-phosphate + ADP (Unknown Authors, 2021, pp. 19-25).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ATP and a divalent metal ion, typically Mg²⁺ (Zhang et al., 2021, pp. 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PRKD3 preferentially phosphorylates serine/threonine residues located in the consensus sequence LXRXXpS/pT (Unknown Authors, 2024a, pp. 37-41).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organization: N-terminal ubiquitin-like dimerization domain (ULD) → tandem C1 domains (C1a, C1b) that bind diacylglycerol (DAG) → pleckstrin-homology (PH) domain → C-terminal bilobal kinase domain (Reinhardt et al., 2020, pp. 3-4).</w:t>
      </w:r>
      <w:r>
        <w:br/>
      </w:r>
      <w:r>
        <w:t xml:space="preserve">• The ULD mediates homodimerization via a conserved phenylalanine essential for activation-loop trans-autophosphorylation (Reinhardt et al., 2020, pp. 3-4).</w:t>
      </w:r>
      <w:r>
        <w:br/>
      </w:r>
      <w:r>
        <w:t xml:space="preserve">• C1a supplies high-affinity DAG sensing and membrane recruitment; lipid binding is modulated by surrounding phosphatidylserine (Reinhardt et al., 2020, pp. 8-10).</w:t>
      </w:r>
      <w:r>
        <w:br/>
      </w:r>
      <w:r>
        <w:t xml:space="preserve">• The PH domain resembles DAPP1/TAPP1 PH domains but binds lipids weakly on its own, suggesting additional partners are required for stable membrane residence (Reinhardt et al., 2020, pp. 3-4).</w:t>
      </w:r>
      <w:r>
        <w:br/>
      </w:r>
      <w:r>
        <w:t xml:space="preserve">• The kinase domain contains the catalytic Lys, HRD and DFG motifs, a conserved regulatory spine, and a Chk2-like activation loop with Ser731, Ser738 and Ser742 (Unknown Authors, 2024a, pp. 37-41).</w:t>
      </w:r>
      <w:r>
        <w:br/>
      </w:r>
      <w:r>
        <w:t xml:space="preserve">• PRKD3 lacks the C-terminal PDZ-binding motif found in PKD1/2, indicating divergent scaffold interactions (Reinhardt et al., 2020, pp. 5-7).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on Ser731, Ser738 and Ser742 is introduced by trans-autophosphorylation within the ULD-mediated dimer and/or by upstream PKC isoforms, switching the kinase to an active conformation (Unknown Authors, 2024a, pp. 37-41; Reinhardt et al., 2020, pp. 3-4).</w:t>
      </w:r>
      <w:r>
        <w:br/>
      </w:r>
      <w:r>
        <w:t xml:space="preserve">• Additional sites include Ser910 (autophosphorylation) and Tyr749; both influence catalytic output, though their full physiological roles remain unresolved (Unknown Authors, 2024c, pp. 37-41).</w:t>
      </w:r>
      <w:r>
        <w:br/>
      </w:r>
      <w:r>
        <w:t xml:space="preserve">• DAG binding to the C1 domains relieves autoinhibition and promotes membrane localization required for activation-loop phosphorylation (Reinhardt et al., 2020, pp. 1-3).</w:t>
      </w:r>
      <w:r>
        <w:br/>
      </w:r>
      <w:r>
        <w:t xml:space="preserve">• Certain ATP-competitive inhibitors paradoxically enhance membrane translocation and phosphorylation, illustrating tight allosteric coupling between the active site and regulatory modules (Reinhardt et al., 2020, pp. 5-7).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PRKD3 is broadly expressed but markedly enriched in triple-negative breast cancer (TNBC) cells, where it localizes to endolysosomal compartments (Unknown Authors, 2024a, pp. 37-41). Upstream activation is driven by DAG generated downstream of GPCR- or RTK-stimulated phospholipase C, frequently involving PKC family kinases (Reinhardt et al., 2020, pp. 1-3). Verified substrates include PI4KIIIβ and CERT (lipid transport at the trans-Golgi network), cortactin and SSH1L (actin dynamics), and class II HDACs (gene transcription) (Unknown Authors, 2024b, pp. 37-41). PRKD3 supports NF-κB activation under oxidative stress, regulates vesicle trafficking, cell migration and lysosomal homeostasis, and interacts with Rabaptin-5 to couple activity to endocytic pathways (Unknown Authors, 2024a, pp. 37-41).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First-generation ATP-competitive scaffold: bisindolylmaleimide Ro 31-8220 inhibits all PKDs with limited selectivity (Reinhardt et al., 2020, pp. 5-7).</w:t>
      </w:r>
      <w:r>
        <w:br/>
      </w:r>
      <w:r>
        <w:t xml:space="preserve">• Second-generation compounds CRT0066101, CRT0066051 and pyrazolopyrimidine 3-IN-PP1 show nanomolar IC₅₀ values against PRKD3 but still inhibit other PKD isoforms (Wang &amp; Wipf, 2022, pp. 6-8).</w:t>
      </w:r>
      <w:r>
        <w:br/>
      </w:r>
      <w:r>
        <w:t xml:space="preserve">• Amidobipyridyl analogues and CID755673 derivatives are under development to improve potency and pharmacokinetics, though comprehensive PRKD3 selectivity data remain scarce (Wang &amp; Wipf, 2022, pp. 14-17).</w:t>
      </w:r>
      <w:r>
        <w:br/>
      </w:r>
      <w:r>
        <w:t xml:space="preserve">• Phorbol-ester DAG mimetics bind the C1 domains and may acutely activate or induce prolonged desensitization of PRKD3 depending on exposure (Gilles et al., 2021, pp. 1-3).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and altered localization of PRKD3 drive TNBC progression by sustaining lysosomal function and invasive migration (Unknown Authors, 2024a, pp. 37-41). Mutation of the conserved ULD phenylalanine disrupts dimerization and abolishes activation, explaining potential loss-of-function variants (Reinhardt et al., 2020, pp. 3-4). Dysregulated PRKD3 activity also contributes to oxidative-stress resistance and broader oncogenic signaling (Zhang et al., 2021, pp. 1-2).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Gilles, P., Voets, L., Van Lint, J., &amp; De Borggraeve, W. M. (2021). Developments in the discovery and design of protein kinase D inhibitors. ChemMedChem, 16, 2158–2171. https://doi.org/10.1002/cmdc.202100110</w:t>
      </w:r>
    </w:p>
    <w:p>
      <w:pPr>
        <w:pStyle w:val="BodyText"/>
      </w:pPr>
      <w:r>
        <w:t xml:space="preserve">Reinhardt, R., Truebestein, L., Schmidt, H. A., &amp; Leonard, T. A. (2020). It takes two to tango: activation of protein kinase D by dimerization. BioEssays. https://doi.org/10.1002/bies.201900222</w:t>
      </w:r>
    </w:p>
    <w:p>
      <w:pPr>
        <w:pStyle w:val="BodyText"/>
      </w:pPr>
      <w:r>
        <w:t xml:space="preserve">Unknown Authors. (2021). Integrative analysis of multi-omics kinome data and virtual screening of identified targets with pan-cancer application.</w:t>
      </w:r>
    </w:p>
    <w:p>
      <w:pPr>
        <w:pStyle w:val="BodyText"/>
      </w:pPr>
      <w:r>
        <w:t xml:space="preserve">Unknown Authors. (2024a). PKD3 localizes to the endolysosomal compartment and maintains lysosomal homeostasis in TNBC.</w:t>
      </w:r>
    </w:p>
    <w:p>
      <w:pPr>
        <w:pStyle w:val="BodyText"/>
      </w:pPr>
      <w:r>
        <w:t xml:space="preserve">Unknown Authors. (2024b). PKD3 localizes to the endolysosomal compartment and maintains lysosomal homeostasis in TNBC.</w:t>
      </w:r>
    </w:p>
    <w:p>
      <w:pPr>
        <w:pStyle w:val="BodyText"/>
      </w:pPr>
      <w:r>
        <w:t xml:space="preserve">Unknown Authors. (2024c). PKD3 localizes to the endolysosomal compartment and maintains lysosomal homeostasis in TNBC.</w:t>
      </w:r>
    </w:p>
    <w:p>
      <w:pPr>
        <w:pStyle w:val="BodyText"/>
      </w:pPr>
      <w:r>
        <w:t xml:space="preserve">Wang, Q. J., &amp; Wipf, P. (2022). Small molecule inhibitors of protein kinase D: early development, current approaches, and future directions. Journal of Medicinal Chemistry, 66, 122–139. https://doi.org/10.1021/acs.jmedchem.2c01599</w:t>
      </w:r>
    </w:p>
    <w:p>
      <w:pPr>
        <w:pStyle w:val="BodyText"/>
      </w:pPr>
      <w:r>
        <w:t xml:space="preserve">Zhang, X., Connelly, J., Chao, Y., &amp; Wang, Q. J. (2021). Multifaceted functions of protein kinase D in pathological processes and human diseases. Biomolecules, 11, 483. https://doi.org/10.3390/biom11030483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2025-07-03T22:37:07Z</dcterms:created>
  <dcterms:modified xsi:type="dcterms:W3CDTF">2025-07-03T22:37:07Z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