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Full-length orthologues (Homo sapiens, 1 291 aa; Mus musculus, 1 288 aa) have been cloned (Takeda et al., 2007). MAP3K6/ASK2 clusters within the STE20-like branch of the MAP3K family, specifically the ASK sub-family comprising MAP3K5, MAP3K6 and MAP3K15 (Keshet &amp; Seger, 2010). Phylogenetic analyses place MAP3K6 immediately adjacent to MAP3K5, consistent with strong sequence conservation across the catalytic core and neighbouring regulatory segments (Takeda et al., 2007; Trevelyan et al., 2020).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O-phospho-L-seryl/threonyl-[protein] (Takeda et al., 2007).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specific divalent-metal requirement has been reported to date for MAP3K6 catalytic activity (Takeda et al., 2007).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Verified direct substrates are MAP2Ks MKK6 and MKK4, phosphorylated within their activation loops (Takeda et al., 2007). A quantitative consensus motif has not been determined, and MAP3K6 has not been included in large-scale motif-profiling studies covered by the cited literature.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Modular organisation: N-terminal regulatory region (~1–640); central Ser/Thr kinase domain (~641–930); C-terminal sterile-alpha motif (SAM, ~1 064–1 286) that mediates homo- and hetero-oligomerisation (Takeda et al., 2007; Trevelyan et al., 2020).</w:t>
      </w:r>
      <w:r>
        <w:br/>
      </w:r>
      <w:r>
        <w:t xml:space="preserve">• Activation loop Thr807 autophosphorylation is obligatory for activity (Takeda et al., 2007).</w:t>
      </w:r>
      <w:r>
        <w:br/>
      </w:r>
      <w:r>
        <w:t xml:space="preserve">• Small-angle X-ray scattering of the isolated SAM domain reveals a compact oligomer (Rg ≈ 16 Å, D_max ≈ 65 Å), supporting higher-order signalosome assembly (Trevelyan et al., 2020).</w:t>
      </w:r>
      <w:r>
        <w:br/>
      </w:r>
      <w:r>
        <w:t xml:space="preserve">• Homology modelling, based on ASK1, predicts a pleckstrin-homology-like fold packed against a tetratricopeptide-repeat core, suggesting a closed autoinhibitory scaffold also present in MAP3K6 (Weijman et al., 2017).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– Thr807 autophosphorylation: required for catalytic competence (Takeda et al., 2007).</w:t>
      </w:r>
      <w:r>
        <w:br/>
      </w:r>
      <w:r>
        <w:t xml:space="preserve">– Ser46 (candidate AKT site) and Ser916: Ser916 is essential for PI3K-dependent suppression of MAP3K6-driven apoptosis, although not directly phosphorylated by AKT in vivo (Ortner, 2007).</w:t>
      </w:r>
    </w:p>
    <w:p>
      <w:pPr>
        <w:pStyle w:val="BodyText"/>
      </w:pPr>
      <w:r>
        <w:t xml:space="preserve">Protein-protein interactions and complex assembly</w:t>
      </w:r>
      <w:r>
        <w:br/>
      </w:r>
      <w:r>
        <w:t xml:space="preserve">– Forms a stable heteromeric complex with MAP3K5/ASK1; ASK1 stabilises MAP3K6 and promotes its autophosphorylation, while MAP3K6 reciprocally phosphorylates ASK1 at Thr838 (Takeda et al., 2007).</w:t>
      </w:r>
      <w:r>
        <w:br/>
      </w:r>
      <w:r>
        <w:t xml:space="preserve">– SAM-domain contacts drive higher-order oligomerisation into an ASK signalosome (Trevelyan et al., 2020).</w:t>
      </w:r>
      <w:r>
        <w:br/>
      </w:r>
      <w:r>
        <w:t xml:space="preserve">– AKT associates with the MAP3K6/ASK1 complex and enhances caspase-3 and PARP cleavage independently of AKT kinase activity (Ortner, 2007).</w:t>
      </w:r>
      <w:r>
        <w:br/>
      </w:r>
      <w:r>
        <w:t xml:space="preserve">– Additional interactors include 14-3-3 proteins and c-Raf (Ortner, 2007).</w:t>
      </w:r>
    </w:p>
    <w:p>
      <w:pPr>
        <w:pStyle w:val="BodyText"/>
      </w:pPr>
      <w:r>
        <w:t xml:space="preserve">Upstream regulatory inputs</w:t>
      </w:r>
      <w:r>
        <w:br/>
      </w:r>
      <w:r>
        <w:t xml:space="preserve">– Oxidative stress (H₂O₂) activates MAP3K6 within the ASK1/ASK2 complex (Takeda et al., 2007).</w:t>
      </w:r>
      <w:r>
        <w:br/>
      </w:r>
      <w:r>
        <w:t xml:space="preserve">– Class I PI3K activity negatively regulates MAP3K6-mediated apoptosis via the Ser916 module (Ortner, 2007).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MAP3K6 protein is ubiquitously expressed and detected in cytoplasm, mitochondria and nucleus (Ortner, 2007). It is essential for oxidative-stress–induced activation of the JNK pathway; RNAi depletion markedly reduces JNK phosphorylation after H₂O₂ exposure (Takeda et al., 2007). MAP3K6 can also activate p38 MAPK, whereas ERK activation has not been observed (Takeda et al., 2007). Co-expression with kinase-inactive ASK1 elevates caspase-3–like activity, indicating a pro-apoptotic role (Takeda et al., 2007). ASK1/ASK2 heterocomplexes contribute to antiviral responses, inflammasome priming and neutrophilic dermatitis (Trevelyan et al., 2020). TRAF2 links MAP3K6 to TNF-receptor stress signalling (Keshet &amp; Seger, 2010).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Dysregulated MAP3K6 activity exhibits opposing effects on apoptosis and inflammation during tumour development (Trevelyan et al., 2020).</w:t>
      </w:r>
    </w:p>
    <w:bookmarkEnd w:id="16"/>
    <w:bookmarkStart w:id="17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Keshet, Y., &amp; Seger, R. (2010). The MAP kinase signaling cascades: A system of hundreds of components regulates a diverse array of physiological functions. Methods in Molecular Biology, 661, 3–38. https://doi.org/10.1007/978-1-60761-795-2_1</w:t>
      </w:r>
    </w:p>
    <w:p>
      <w:pPr>
        <w:pStyle w:val="BodyText"/>
      </w:pPr>
      <w:r>
        <w:t xml:space="preserve">Ortner, E. (2007). Regulation of apoptosis and differentiation by the apoptosis signal-regulating kinase family. https://doi.org/10.5167/uzh-163681</w:t>
      </w:r>
    </w:p>
    <w:p>
      <w:pPr>
        <w:pStyle w:val="BodyText"/>
      </w:pPr>
      <w:r>
        <w:t xml:space="preserve">Takeda, K., Shimozono, R., Noguchi, T., Umeda, T., Morimoto, Y., Naguro, I., Tobiume, K., Saitoh, M., Matsuzawa, A., &amp; Ichijo, H. (2007). Apoptosis signal-regulating kinase (ASK) 2 functions as a mitogen-activated protein kinase kinase kinase in a heteromeric complex with ASK1. Journal of Biological Chemistry, 282, 7522–7531. https://doi.org/10.1074/jbc.M607177200</w:t>
      </w:r>
    </w:p>
    <w:p>
      <w:pPr>
        <w:pStyle w:val="BodyText"/>
      </w:pPr>
      <w:r>
        <w:t xml:space="preserve">Trevelyan, S. J., Brewster, J. L., Burgess, A. E., Crowther, J. M., Cadell, A. L., Parker, B. L., Croucher, D. R., Dobson, R. C. J., Murphy, J. M., &amp; Mace, P. D. (2020). Structure-based mechanism of preferential complex formation by apoptosis signal–regulating kinases. Science Signaling, 13(623), eaay6318. https://doi.org/10.1126/scisignal.aay6318</w:t>
      </w:r>
    </w:p>
    <w:p>
      <w:pPr>
        <w:pStyle w:val="BodyText"/>
      </w:pPr>
      <w:r>
        <w:t xml:space="preserve">Weijman, J. F., Kumar, A., Jamieson, S. A., King, C. M., Caradoc-Davies, T. T., Ledgerwood, E. C., Murphy, J. M., &amp; Mace, P. D. (2017). Structural basis of autoregulatory scaffolding by apoptosis signal-regulating kinase 1. Proceedings of the National Academy of Sciences, 114, E2096–E2105. https://doi.org/10.1073/pnas.1620813114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2025-07-03T18:02:27Z</dcterms:created>
  <dcterms:modified xsi:type="dcterms:W3CDTF">2025-07-03T18:02:27Z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