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tyrosine-kinase (TK) group, TRK subfamily; paralogues are NTRK2 (TRKB) and NTRK3 (TRKC) (Cocco et al., 2018, pp. 1-3). Orthologues are retained throughout vertebrates (human, mouse, rat, zebrafish, medaka, stickleback, sea lamprey), reflecting high conservation after the first and second whole-genome duplications (Brunet et al., 2016, pp. 6-7). In large-scale TK domain trees, the TRK subfamily clusters with DDR, ROR and MUSK receptor families (Brunet et al., 2016, pp. 3-4).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(Micro RNA-mediated regulation …, 2009, pp. 26-30).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cations (Mg²⁺ or Mn²⁺) for ATP coordination (TRAF4 and castration-resistant prostate cancer, 2016, p. 27).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Autophosphorylation sites include Y676, Y680, Y681 (activation loop), Y496 (juxtamembrane NPXY motif) and Y791 (C-terminal PLCγ docking site) (Cocco et al., 2018, pp. 3-4). Phospho-Y496 recruits PTB-domain adaptors SHC1 and FRS2, illustrating preference for NPXY-containing motifs (Cocco et al., 2018, pp. 3-4). Motif profiling indicates selectivity for an acidic residue at –2 and a hydrophobic residue at +1 relative to the target Tyr (Structural and functional alterations …, 2020, pp. 25-28).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Single-pass type I membrane protein (≈ 790-796 aa): signal peptide → three leucine-rich repeats flanked by cysteine clusters (C1, C2) → two Ig-like domains → transmembrane helix → juxtamembrane segment → bilobed TK domain → short C-terminal tail (Cocco et al., 2018, pp. 3-4). The mature, N-glycosylated receptor migrates at ~140 kDa (Cocco et al., 2018, pp. 3-4). The kinase domain contains the canonical VAIK, HRD and DFG motifs; Y674-Y675 (human numbering) lie in the activation loop and form part of the hydrophobic regulatory spine (TRAF4 and castration-resistant prostate cancer, 2016, p. 27).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Post-translational: autophosphorylation at Y676/Y680/Y681 enables full catalytic activity; Y496 phosphorylation creates SHC/FRS2 docking sites, while Y791 phosphorylation recruits PLCγ1 (Cocco et al., 2018, pp. 3-4). Lys63-linked polyubiquitination by CBL promotes internalisation and down-regulation (TRAF4 and castration-resistant prostate cancer, 2016, p. 27).</w:t>
      </w:r>
      <w:r>
        <w:br/>
      </w:r>
      <w:r>
        <w:t xml:space="preserve">Allosteric/contextual: nerve growth factor (NGF)–induced homodimerisation drives trans-phosphorylation (Small-molecule modulation …, 2024, pp. 11-15). Co-receptor p75^NTR modulates ligand affinity, turnover and signalling bias (Cocco et al., 2018, pp. 4-6). Alternative splicing generates isoforms TRKA I, TRKA II and constitutively active TRKA III that lacks Ig domains (Cocco et al., 2018, pp. 6-7).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sympathetic, trigeminal and dorsal-root-ganglion neurons and in central cholinergic neurons; minimal expression in most non-neuronal tissues (Structural and functional alterations …, 2020, pp. 25-28). NGF binding promotes neuronal survival and differentiation, whereas NT-3 supports axonal extension via NTRK1 (Small-molecule modulation …, 2024, pp. 11-15). Key downstream cascades include:</w:t>
      </w:r>
      <w:r>
        <w:br/>
      </w:r>
      <w:r>
        <w:t xml:space="preserve">• SHC/FRS2-GRB2-SOS → RAS-RAF-MEK-ERK (neuronal differentiation) (Cocco et al., 2018, pp. 4-6).</w:t>
      </w:r>
      <w:r>
        <w:br/>
      </w:r>
      <w:r>
        <w:t xml:space="preserve">• SHC/GAB1 or direct p85 binding → PI3K-AKT (cell survival) (Diaz, 2016, pp. 34-37).</w:t>
      </w:r>
      <w:r>
        <w:br/>
      </w:r>
      <w:r>
        <w:t xml:space="preserve">• Y791-PLCγ1 → PKC pathway (neurite outgrowth) (Cocco et al., 2018, pp. 4-6).</w:t>
      </w:r>
      <w:r>
        <w:br/>
      </w:r>
      <w:r>
        <w:t xml:space="preserve">Interacting partners encompass SH2B1/2, IRS1/2, GRB2, SHP2 and SRC-family kinases (Cocco et al., 2018, pp. 6-7).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pan-TRK inhibitors larotrectinib and entrectinib bind the kinase domain with nanomolar potency; CEP-751 and lestaurtinib show pre-clinical activity (Cocco et al., 2018, pp. 6-7, 24-27). Resistance mutations arise within the kinase domain under drug pressure (Cocco et al., 2018, pp. 24-27).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variants (e.g., G571R) cause congenital insensitivity to pain with anhidrosis (Cocco et al., 2018, pp. 24-27). Oncogenic fusions retaining the kinase domain (e.g., TPM3-NTRK1, TPR-NTRK1) drive constitutive signalling in diverse tumours; the paralogous ETV6-NTRK3 fusion is well characterised (Cocco et al., 2018, pp. 20-21). Constitutively active splice variant TRKA III contributes to neuroblastoma (Cocco et al., 2018, pp. 6-7). Over-expression correlates with aggressive behaviour in several solid tumours via MAPK and PI3K pathway activation (Cocco et al., 2018, pp. 6-7).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Brunet, F. G., Volff, J.-N., &amp; Schartl, M. (2016). Whole genome duplications shaped the receptor tyrosine kinase repertoire of jawed vertebrates. Genome Biology and Evolution, 8, 1600-1613. https://doi.org/10.1093/gbe/evw103</w:t>
      </w:r>
    </w:p>
    <w:p>
      <w:pPr>
        <w:pStyle w:val="BodyText"/>
      </w:pPr>
      <w:r>
        <w:t xml:space="preserve">Cocco, E., Scaltriti, M., &amp; Drilon, A. (2018). NTRK fusion-positive cancers and TRK inhibitor therapy. Nature Reviews Clinical Oncology, 15, 731-747. https://doi.org/10.1038/s41571-018-0113-0</w:t>
      </w:r>
    </w:p>
    <w:p>
      <w:pPr>
        <w:pStyle w:val="BodyText"/>
      </w:pPr>
      <w:r>
        <w:t xml:space="preserve">Diaz, A. K. (2016). Novel oncogenic drivers in pediatric gliomagenesis (Doctoral dissertation, University of Tennessee Health Science Center). https://doi.org/10.21007/etd.cghs.2016.0396</w:t>
      </w:r>
    </w:p>
    <w:p>
      <w:pPr>
        <w:pStyle w:val="BodyText"/>
      </w:pPr>
      <w:r>
        <w:t xml:space="preserve">Micro RNA-mediated regulation of the full-length and truncated isoforms of human neurotrophic tyrosine kinase receptor type 3 (NTRK3). (2009).</w:t>
      </w:r>
    </w:p>
    <w:p>
      <w:pPr>
        <w:pStyle w:val="BodyText"/>
      </w:pPr>
      <w:r>
        <w:t xml:space="preserve">Structural and functional alterations of the kinase domain: Impact on membrane trafficking of receptor tyrosine kinases. (2020).</w:t>
      </w:r>
    </w:p>
    <w:p>
      <w:pPr>
        <w:pStyle w:val="BodyText"/>
      </w:pPr>
      <w:r>
        <w:t xml:space="preserve">Small molecule modulation of the P75 neurotrophin receptor attenuates neurodegeneration in an in vitro model of Parkinson’s disease. (2024).</w:t>
      </w:r>
    </w:p>
    <w:p>
      <w:pPr>
        <w:pStyle w:val="BodyText"/>
      </w:pPr>
      <w:r>
        <w:t xml:space="preserve">TRAF4 and castration-resistant prostate cancer. (2016).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2025-07-03T21:26:19Z</dcterms:created>
  <dcterms:modified xsi:type="dcterms:W3CDTF">2025-07-03T21:26:19Z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