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Protein kinase C γ (PKCγ), encoded by PRKCG, belongs to the PKC family within the AGC kinase group (Manning et al., 2002a; Manning et al., 2002b; Johnson et al., 2023). Within the family it is one of the conventional/classical PKCs (cPKC α, βI, βII, γ) defined by shared cofactor requirements and sequence homology (Shimobayashi, 2016; Grados et al., 2024). PKCγ is conserved across metazoans and shows strong conservation throughout the vertebrate lineage (Manning et al., 2002a; Pilo et al., 2021).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L-Ser/Thr ⇌ ADP + protein O-phospho-L-Ser/Thr (Johnson et al., 2023; Pilo et al., 2021).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• Catalytic: Mg²⁺ (Johnson et al., 2023; Pilo et al., 2021)</w:t>
      </w:r>
      <w:r>
        <w:br/>
      </w:r>
      <w:r>
        <w:t xml:space="preserve">• Activation: Ca²⁺ plus lipid cofactors diacylglycerol (DAG) and phosphatidylserine (Johnson et al., 2023; Pilo et al., 2022a; Grados et al., 2024)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 basophilic kinase (Cluster 1) that favours basic residues (Arg/Lys) at –3/–2 relative to the Ser/Thr phosphoacceptor; frequent consensus motif R-x-x-S/T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Modular organisation with an N-terminal regulatory region and a C-terminal kinase domain (Pilo &amp; Newton, 2022).</w:t>
      </w:r>
      <w:r>
        <w:br/>
      </w:r>
      <w:r>
        <w:t xml:space="preserve">• Regulatory region: pseudosubstrate segment (autoinhibition), tandem C1A/C1B DAG-binding domains, Ca²⁺-dependent C2 lipid-binding domain (Pilo et al., 2022a; Pilo &amp; Newton, 2022; Abid et al., 2023).</w:t>
      </w:r>
      <w:r>
        <w:br/>
      </w:r>
      <w:r>
        <w:t xml:space="preserve">• Kinase domain: catalysis (Abid et al., 2023).</w:t>
      </w:r>
      <w:r>
        <w:br/>
      </w:r>
      <w:r>
        <w:t xml:space="preserve">In the inactive state, intramolecular contacts keep the enzyme in a closed, autoinhibited conformation (Pilo &amp; Newton, 2022).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Priming phosphorylations generate a stable but inactive enzyme: PDK1 phosphorylates Thr514 in the activation loop, followed by autophosphorylation of the turn (Thr655) and hydrophobic (Thr674) motifs (Pilo &amp; Newton, 2022; Abid et al., 2023). Binding of Ca²⁺ to the C2 domain and DAG to C1A/C1B triggers membrane translocation, displacement of the pseudosubstrate, and catalytic activation (Pilo et al., 2022a). Mis-autoinhibited molecules are dephosphorylated by PHLPP and degraded via the ubiquitin–proteasome pathway (Pilo et al., 2022a; Shimobayashi &amp; Kapfhammer, 2017).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Neuron-restricted kinase highly expressed in brain, especially cerebellar Purkinje cells and hippocampus (Grados et al., 2024; Pilo et al., 2022a). Contributes to synaptic plasticity (LTP/LTD) and phosphorylates substrates such as diacylglycerol kinase γ, thereby regulating DAG metabolism (Shimobayashi, 2016; Pilo &amp; Newton, 2022). Participates in MAPK signalling pathways and is positioned by scaffold proteins RACKs and AKAPs (Verbeek et al., 2008; Grados et al., 2024).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Phorbol esters act as DAG mimetics to hyper-activate PKCγ but induce prolonged down-regulation and degradation (Pilo et al., 2022a; Pilo &amp; Newton, 2022). C1B-targeted inhibitory peptides reduce cancer cell growth (Pilo &amp; Newton, 2022). Congo red rescues cellular defects caused by mutant PKCγ (Shirafuji et al.,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Dominant mutations in PRKCG cause spinocerebellar ataxia type 14 (SCA14) (Pilo et al., 2022a; Shirafuji et al., 2019). Most disease variants cluster in C1A/C1B and weaken autoinhibition, elevating basal activity; the extent of autoinhibition loss inversely correlates with age of onset (Pilo &amp; Newton, 2022). Some mutants resist phorbol-ester down-regulation and form amyloid-like aggregates (Shirafuji et al., 2019; Pilo &amp; Newton, 2022).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Abid, F., Khan, K., Badshah, Y., Ashraf, N. M., Shabbir, M., Hamid, A., Afsar, T., Almajwal, A., &amp; Razak, S. (2023). Non-synonymous SNPs variants of PRKCG and its association with oncogenes predispose to hepatocellular carcinoma. Cancer Cell International. https://doi.org/10.1186/s12935-023-02965-z</w:t>
      </w:r>
    </w:p>
    <w:p>
      <w:pPr>
        <w:pStyle w:val="BodyText"/>
      </w:pPr>
      <w:r>
        <w:t xml:space="preserve">Grados, M., Salehi, M., Lotfi, A., Dua, S., &amp; Xie, I. (2024). A selective review of inhibitors of protein kinase C γ: A neuroplasticity-related common pathway for psychiatric illness. Frontiers in Drug Delivery. https://doi.org/10.3389/fddev.2024.1364037</w:t>
      </w:r>
    </w:p>
    <w:p>
      <w:pPr>
        <w:pStyle w:val="BodyText"/>
      </w:pPr>
      <w:r>
        <w:t xml:space="preserve">Johnson, J. L., Yaron, T. M., Huntsman, E. M.,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Manning, G., Plowman, G. D., Hunter, T., &amp; Sudarsanam, S. (2002a). Evolution of protein kinase signalling from yeast to man. Trends in Biochemical Sciences, 27, 514–520. https://doi.org/10.1016/S0968-0004(02)02179-5</w:t>
      </w:r>
    </w:p>
    <w:p>
      <w:pPr>
        <w:pStyle w:val="BodyText"/>
      </w:pPr>
      <w:r>
        <w:t xml:space="preserve">Manning, G., Whyte, D. B., Martinez, R., Hunter, T., &amp; Sudarsanam, S. (2002b). The protein kinase complement of the human genome. Science, 298, 1912–1934. https://doi.org/10.1126/science.1075762</w:t>
      </w:r>
    </w:p>
    <w:p>
      <w:pPr>
        <w:pStyle w:val="BodyText"/>
      </w:pPr>
      <w:r>
        <w:t xml:space="preserve">Pilo, C. A., Baffi, T. R., Kornev, A. P., … Newton, A. C. (2021). Protein kinase C γ mutations drive spinocerebellar ataxia type 14 by impairing autoinhibition. bioRxiv. https://doi.org/10.1101/2021.06.24.449810</w:t>
      </w:r>
    </w:p>
    <w:p>
      <w:pPr>
        <w:pStyle w:val="BodyText"/>
      </w:pPr>
      <w:r>
        <w:t xml:space="preserve">Pilo, C. A., Baffi, T. R., Kornev, A. P., … Newton, A. C. (2022a). Mutations in protein kinase C γ promote spinocerebellar ataxia type 14 by impairing kinase autoinhibition. Science Signaling. https://doi.org/10.1126/scisignal.abk1147</w:t>
      </w:r>
    </w:p>
    <w:p>
      <w:pPr>
        <w:pStyle w:val="BodyText"/>
      </w:pPr>
      <w:r>
        <w:t xml:space="preserve">Pilo, C. A., &amp; Newton, A. C. (2022). Two sides of the same coin: Protein kinase C γ in cancer and neurodegeneration. Frontiers in Cell and Developmental Biology. https://doi.org/10.3389/fcell.2022.929510</w:t>
      </w:r>
    </w:p>
    <w:p>
      <w:pPr>
        <w:pStyle w:val="BodyText"/>
      </w:pPr>
      <w:r>
        <w:t xml:space="preserve">Shimobayashi, E. (2016). Mechanisms of PKC γ-mediated inhibition of dendritic growth in cerebellar Purkinje cells. [Doctoral dissertation]. https://doi.org/10.5451/unibas-006657612</w:t>
      </w:r>
    </w:p>
    <w:p>
      <w:pPr>
        <w:pStyle w:val="BodyText"/>
      </w:pPr>
      <w:r>
        <w:t xml:space="preserve">Shimobayashi, E., &amp; Kapfhammer, J. P. (2017). Increased biological activity of protein kinase C γ is not required in spinocerebellar ataxia 14. Molecular Brain, 10, 43. https://doi.org/10.1186/s13041-017-0313-z</w:t>
      </w:r>
    </w:p>
    <w:p>
      <w:pPr>
        <w:pStyle w:val="BodyText"/>
      </w:pPr>
      <w:r>
        <w:t xml:space="preserve">Shirafuji, T., Shimazaki, H., Miyagi, T., … Sakai, N. (2019). Spinocerebellar ataxia type 14 caused by a nonsense mutation in the PRKCG gene. Molecular and Cellular Neuroscience, 98, 46–53. https://doi.org/10.1016/j.mcn.2019.05.005</w:t>
      </w:r>
    </w:p>
    <w:p>
      <w:pPr>
        <w:pStyle w:val="BodyText"/>
      </w:pPr>
      <w:r>
        <w:t xml:space="preserve">Verbeek, D., Goedhart, J., Bruinsma, L., Sinke, R., &amp; Reits, E. (2008). PKC γ mutations in spinocerebellar ataxia type 14 affect C1 domain accessibility and kinase activity leading to aberrant MAPK signaling. Journal of Cell Science, 121, 2339–2349. https://doi.org/10.1242/jcs.027698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2025-07-03T17:58:51Z</dcterms:created>
  <dcterms:modified xsi:type="dcterms:W3CDTF">2025-07-03T17:58:51Z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