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insulin receptor (INSR) is a receptor tyrosine kinase belonging to the tyrosine-kinase (TK) group and the insulin receptor (InsR) sub-family described by Manning and colleagues (Du &amp; Uversky, 2017, pp. 24–27; Murthy et al., 2024, pp. 17–18; Tatulian, 2015, pp. 1–5). Close paralogs are insulin-like growth factor-1 receptor (IGF1R) and insulin receptor–related receptor (INSRR), with which INSR shares substantial structural and functional similarity (Du &amp; Uversky, 2017, pp. 24–27; Tatulian, 2015, pp. 1–5). Orthologs are conserved throughout metazoans and vertebrates, underscoring an essential, ancient role in metabolic regulation (Aslanzadeh et al., 2024, pp. 1–4; Tatulian, 2015, pp. 1–5).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[protein-L-tyrosine] ⇌ ADP + [protein-L-tyrosine phosphate] (Du &amp; Uversky, 2017, pp. 24–27; Murthy et al., 2024, pp. 17–18; Tatulian, 2015, pp. 1–5).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Kinase activity is Mg²⁺-dependent (Tatulian, 2015, pp. 14–16; Murthy et al., 2024, pp. 17–18; Aslanzadeh et al., 2024, pp. 37–39).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INSR phosphorylates intracellular adaptor proteins, chiefly the insulin receptor substrate (IRS) family and SHC (Aslanzadeh et al., 2024, pp. 37–39; Murthy et al., 2024, pp. 17–18). A peptide motif preference of C-R-S-D-D-Y-M-P-M-S-P has been defined (Yaron-Barir et al., 2024, p. 3). The receptor favors acidic residues (Asp/Glu) at position –1 and in the region –1 to +3 relative to the phosphorylated Tyr, tolerates hydrophobic aliphatic residues (e.g., Ile) at –1 and +3, and can accommodate a phosphotyrosine at +2. Ser at –1 and basic or additional phospho-residues near the target Tyr are disfavoured (Yaron-Barir et al., 2024, pp. 16–17).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INSR is a 1 382-residue disulfide-linked glycoprotein that assembles as a (αβ)₂ heterotetramer (Du &amp; Uversky, 2017, pp. 27–29).</w:t>
      </w:r>
      <w:r>
        <w:br/>
      </w:r>
      <w:r>
        <w:t xml:space="preserve">• Ectodomain (α-subunit): two leucine-rich domains (L1, L2), a cysteine-rich (CR) region, three fibronectin type III domains (FnIII-1/2/3) and the αCT helix; heavily N-glycosylated and responsible for insulin binding (Tatulian, 2015, pp. 7–9).</w:t>
      </w:r>
      <w:r>
        <w:br/>
      </w:r>
      <w:r>
        <w:t xml:space="preserve">• Transmembrane: single helix per β-subunit (Du &amp; Uversky, 2017, pp. 27–29).</w:t>
      </w:r>
      <w:r>
        <w:br/>
      </w:r>
      <w:r>
        <w:t xml:space="preserve">• Intracellular (β-subunit): juxtamembrane (JM) segment and bilobal tyrosine-kinase domain (Tatulian, 2015, pp. 5–7).</w:t>
      </w:r>
      <w:r>
        <w:br/>
      </w:r>
      <w:r>
        <w:t xml:space="preserve">Key catalytic elements include the activation loop, whose Tyr1158/Tyr1162/Tyr1163 tri-phosphorylation relieves autoinhibition, and conserved C-helix plus hydrophobic spine that stabilise the active conformation (Ye et al., 2017, pp. 5–6; Tatulian, 2015, pp. 1–5).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Ligand-induced autophosphorylation: Insulin binding triggers β-subunit trans-autophosphorylation on Tyr1158/1162/1163, activating the kinase (Tatulian, 2015, pp. 1–5; Ye et al., 2017, pp. 5–6).</w:t>
      </w:r>
      <w:r>
        <w:br/>
      </w:r>
      <w:r>
        <w:t xml:space="preserve">• Dephosphorylation: PTP1B, SHP1 and SHP2 attenuate signalling by removing phosphates (Murthy et al., 2024, pp. 17–18).</w:t>
      </w:r>
      <w:r>
        <w:br/>
      </w:r>
      <w:r>
        <w:t xml:space="preserve">• Ubiquitination: regulates receptor stability, internalisation and degradation (Du &amp; Uversky, 2017, pp. 24–27).</w:t>
      </w:r>
      <w:r>
        <w:br/>
      </w:r>
      <w:r>
        <w:t xml:space="preserve">• Juxtamembrane control: the JM segment provides cis-autoinhibition and trans-activation (Du &amp; Uversky, 2017, pp. 27–29).</w:t>
      </w:r>
      <w:r>
        <w:br/>
      </w:r>
      <w:r>
        <w:t xml:space="preserve">• Adaptor inhibition: Grb14 negatively modulates kinase activity (Ye et al., 2017, p. 11).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INSR is broadly expressed, notably in liver, adipose tissue and skeletal muscle, where it coordinates metabolic and growth responses (Aslanzadeh et al., 2024, pp. 37–39; Unknown Authors, 2023, pp. 23–27). Upon activation, phosphorylation of IRS and SHC initiates:</w:t>
      </w:r>
      <w:r>
        <w:br/>
      </w:r>
      <w:r>
        <w:t xml:space="preserve">• PI3K–AKT pathway: drives glucose uptake (GLUT4 translocation) and anabolic metabolism (Aslanzadeh et al., 2024, pp. 37–39; Lukman et al., 2015, pp. 1–2).</w:t>
      </w:r>
      <w:r>
        <w:br/>
      </w:r>
      <w:r>
        <w:t xml:space="preserve">• Ras–MAPK pathway: regulates gene expression and cell growth (Aslanzadeh et al., 2024, pp. 37–39).</w:t>
      </w:r>
      <w:r>
        <w:br/>
      </w:r>
      <w:r>
        <w:t xml:space="preserve">Signal propagation involves Grb2 and SHP2 among other adaptors (Du &amp; Uversky, 2017, pp. 24–27; Murthy et al., 2024, pp. 17–18).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activators/sensitisers include monoclonal antibodies, S597, CG7 (ursolic acid), XMetA, TLK16998 and TLK19780; the phosphatase inhibitor Morin indirectly elevates receptor phosphorylation by blocking PTP1B (Ye et al., 2017, pp. 8–10; Aslanzadeh et al., 2024, pp. 37–39).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INSR mutations underlie severe insulin-resistance syndromes such as Donohue and Rabson–Mendenhall (Ardon et al., 2014, pp. 1–3; Aslanzadeh et al., 2024, pp. 1–4). Dominant-negative variants are also described. Two splice isoforms exist: IR-A and IR-B, differing by exon 11 inclusion; IR-B is predominantly metabolic, whereas IR-A is more mitogenic (Du &amp; Uversky, 2017, pp. 27–29).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Ardon, O., Procter, M., Tvrdik, T., Longo, N., &amp; Mao, R. (2014). Sequencing analysis of insulin receptor defects and detection of two novel mutations in INSR gene. Molecular Genetics and Metabolism Reports, 1, 71–84. https://doi.org/10.1016/j.ymgmr.2013.12.006</w:t>
      </w:r>
    </w:p>
    <w:p>
      <w:pPr>
        <w:pStyle w:val="BodyText"/>
      </w:pPr>
      <w:r>
        <w:t xml:space="preserve">Aslanzadeh, V., Brierley, G. V., Kumar, R., Çubuk, H., Vigouroux, C., Matreyek, K. A., Kudla, G., &amp; Semple, R. K. (2024). Deep mutational scanning of the human insulin receptor ectodomain to inform precision therapy for insulin resistance. bioRxiv. https://doi.org/10.1101/2024.09.07.611782</w:t>
      </w:r>
    </w:p>
    <w:p>
      <w:pPr>
        <w:pStyle w:val="BodyText"/>
      </w:pPr>
      <w:r>
        <w:t xml:space="preserve">Du, Z., &amp; Uversky, V. (2017). A comprehensive survey of the roles of highly disordered proteins in type 2 diabetes. International Journal of Molecular Sciences, 18, 2010. https://doi.org/10.3390/ijms18102010</w:t>
      </w:r>
    </w:p>
    <w:p>
      <w:pPr>
        <w:pStyle w:val="BodyText"/>
      </w:pPr>
      <w:r>
        <w:t xml:space="preserve">Lukman, S., Al Safar, H., Lee, S. M., &amp; Sim, K. (2015). Harnessing structural data of insulin and insulin receptor for therapeutic designs. Journal of Endocrinology and Metabolism, 5, 273–283. https://doi.org/10.14740/jem.v5i5.302</w:t>
      </w:r>
    </w:p>
    <w:p>
      <w:pPr>
        <w:pStyle w:val="BodyText"/>
      </w:pPr>
      <w:r>
        <w:t xml:space="preserve">Murthy, M. H. S., Jasbi, P., Lowe, W., Kumar, L., Olaosebikan, M., Roger, L., … Klein-Seetharaman, J. (2024). Insulin signaling and pharmacology in humans and in corals. PeerJ, 12, e16804. https://doi.org/10.7717/peerj.16804</w:t>
      </w:r>
    </w:p>
    <w:p>
      <w:pPr>
        <w:pStyle w:val="BodyText"/>
      </w:pPr>
      <w:r>
        <w:t xml:space="preserve">Tatulian, S. A. (2015). Structural dynamics of insulin receptor and transmembrane signaling. Biochemistry, 54, 5523–5532. https://doi.org/10.1021/acs.biochem.5b00805</w:t>
      </w:r>
    </w:p>
    <w:p>
      <w:pPr>
        <w:pStyle w:val="BodyText"/>
      </w:pPr>
      <w:r>
        <w:t xml:space="preserve">Unknown Authors. (2023). Identifying small molecule modulators of IR-IGF1R hybrid formation (pp. 23–27).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p>
      <w:pPr>
        <w:pStyle w:val="BodyText"/>
      </w:pPr>
      <w:r>
        <w:t xml:space="preserve">Ye, L., Maji, S., Sanghera, N., Gopalasingam, P., Gorbunov, E., Tarasov, S., … Klein-Seetharaman, J. (2017). Structure and dynamics of the insulin receptor: implications for receptor activation and drug discovery. Drug Discovery Today, 22, 1092–1102. https://doi.org/10.1016/j.drudis.2017.04.011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2025-07-03T18:04:02Z</dcterms:created>
  <dcterms:modified xsi:type="dcterms:W3CDTF">2025-07-03T18:04:02Z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