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Lyn (UniProt P07948) is a Src-family member within the Tyrosine Kinase (TK) group, Lyn/Hck sub-subfamily (Ingley, 2012). Closely related paralogues are Hck, Lck and Blk, reflecting a recent duplication in vertebrates (Unknown Authors, 2018). Orthologues with high sequence conservation occur in mouse, rat, zebrafish and chicken; Drosophila Src42A is the invertebrate counterpart (Berndt et al., 2019; Ingley,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(Unknown Authors,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needs a divalent metal ion; either Mg²⁺ or Mn²⁺ can coordinate the ATP phosphates (Berndt et al., 2019; Ingley, 2012).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profiling shows preference for acidic or small residues at +1 and hydrophobic residues at +3 relative to the target Tyr (Berndt et al., 2019). In cells, Lyn phosphorylates ITAM (YxxL/Ix₆–₁₂YxxL/I) and ITIM (S/I/V/LxYxxL/V) motifs in immune receptors (Weerawarna &amp; Richardson,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SH4 – Unique – SH3 – SH2 – Kinase (SH1) – C-terminal tail (Ingley, 2012).</w:t>
      </w:r>
      <w:r>
        <w:br/>
      </w:r>
      <w:r>
        <w:t xml:space="preserve">• SH3: five-stranded β-barrel; key residues Tyr74/Trp99/Pro114; 1.3 Å structure PDB 1W1F (Berndt et al., 2019).</w:t>
      </w:r>
      <w:r>
        <w:br/>
      </w:r>
      <w:r>
        <w:t xml:space="preserve">• SH2: canonical α/β fold; Tyr194 phosphorylation remodels phosphotyrosine pocket; PDB 4TZI (Jin et al., 2015).</w:t>
      </w:r>
      <w:r>
        <w:br/>
      </w:r>
      <w:r>
        <w:t xml:space="preserve">• Kinase domain: Src-like bilobal fold with Lys275–Glu290 salt bridge, HRD (371-373) and DFG (385-387) motifs; Tyr397 autophosphorylation site; active structures PDB 3ERP, 4RJ3 (Berndt et al., 2019; Weerawarna &amp; Richardson, 2023).</w:t>
      </w:r>
      <w:r>
        <w:br/>
      </w:r>
      <w:r>
        <w:t xml:space="preserve">• C-terminal tail harbours inhibitory Tyr508 that binds SH2 (Ingley, 2012).</w:t>
      </w:r>
      <w:r>
        <w:br/>
      </w:r>
      <w:r>
        <w:t xml:space="preserve">No full-length structure is solved; the autoinhibited conformation is inferred from other Src-family kinases (Berndt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Tyr508 phosphorylated by Csk/Chk suppresses activity (Ingley, 2012; Unknown Authors, 2018).</w:t>
      </w:r>
      <w:r>
        <w:br/>
      </w:r>
      <w:r>
        <w:t xml:space="preserve">– Tyr397 autophosphorylation follows Tyr508 dephosphorylation and is required for full activity (Ingley, 2012; Kinoshita et al., 2008).</w:t>
      </w:r>
      <w:r>
        <w:br/>
      </w:r>
      <w:r>
        <w:t xml:space="preserve">– Tyr194 (SH2) phosphorylated by EphA4, PDGFR or Syk alters ligand preference (Jin et al., 2015).</w:t>
      </w:r>
      <w:r>
        <w:br/>
      </w:r>
      <w:r>
        <w:t xml:space="preserve">– Tyr32 (unique domain) phosphorylated downstream of EGFR (Weerawarna &amp; Richardson, 2023).</w:t>
      </w:r>
      <w:r>
        <w:br/>
      </w:r>
      <w:r>
        <w:t xml:space="preserve">– Ser13 (SH4) phosphorylated by CK1γ at the Golgi decreases membrane association (Kinoshita-Kikuta et al., 2020).</w:t>
      </w:r>
    </w:p>
    <w:p>
      <w:pPr>
        <w:pStyle w:val="BodyText"/>
      </w:pPr>
      <w:r>
        <w:t xml:space="preserve">Dephosphorylation</w:t>
      </w:r>
      <w:r>
        <w:br/>
      </w:r>
      <w:r>
        <w:t xml:space="preserve">CD45 and SHP-2 remove pTyr508 to activate Lyn; SHP-1/2 dephosphorylate pTyr397 to terminate signalling (Ingley, 2012).</w:t>
      </w:r>
    </w:p>
    <w:p>
      <w:pPr>
        <w:pStyle w:val="BodyText"/>
      </w:pPr>
      <w:r>
        <w:t xml:space="preserve">Ubiquitination</w:t>
      </w:r>
      <w:r>
        <w:br/>
      </w:r>
      <w:r>
        <w:t xml:space="preserve">c-Cbl binds the SH3 domain and polyubiquitinates active Lyn for proteasomal degradation (Weerawarna &amp; Richardson, 2023; Sun et al., 2021).</w:t>
      </w:r>
    </w:p>
    <w:p>
      <w:pPr>
        <w:pStyle w:val="BodyText"/>
      </w:pPr>
      <w:r>
        <w:t xml:space="preserve">Conformational control</w:t>
      </w:r>
      <w:r>
        <w:br/>
      </w:r>
      <w:r>
        <w:t xml:space="preserve">SH3-linker and SH2-pTyr508 contacts lock Lyn in an αC-out inactive state; disruption yields constitutive activity (Berndt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Highly expressed in B cells, mast cells, macrophages, platelets and brain neurons/microglia; absent in resting T cells (Ingley, 2012; Weerawarna &amp; Richardson, 2023).</w:t>
      </w:r>
    </w:p>
    <w:p>
      <w:pPr>
        <w:pStyle w:val="BodyText"/>
      </w:pPr>
      <w:r>
        <w:t xml:space="preserve">Upstream receptors</w:t>
      </w:r>
      <w:r>
        <w:br/>
      </w:r>
      <w:r>
        <w:t xml:space="preserve">Recruited by B-cell receptor subunits CD79A/B, CD19, CD22; FcεRI, FcγRI/II; TLR2, TLR4; and several growth-factor receptors (Ingley, 2012; Berndt et al., 2019).</w:t>
      </w:r>
    </w:p>
    <w:p>
      <w:pPr>
        <w:pStyle w:val="BodyText"/>
      </w:pPr>
      <w:r>
        <w:t xml:space="preserve">Downstream partners and substrates</w:t>
      </w:r>
      <w:r>
        <w:br/>
      </w:r>
      <w:r>
        <w:t xml:space="preserve">Targets include SYK, BTK, PLCγ2, PI3K, β-catenin, N-myristoyl-transferase-1, STAT3, Na⁺/K⁺-ATPase α3 and NMDA receptor subunits (Berndt et al., 2019; Weerawarna &amp; Richardson, 2023).</w:t>
      </w:r>
    </w:p>
    <w:p>
      <w:pPr>
        <w:pStyle w:val="BodyText"/>
      </w:pPr>
      <w:r>
        <w:t xml:space="preserve">Pathways</w:t>
      </w:r>
      <w:r>
        <w:br/>
      </w:r>
      <w:r>
        <w:t xml:space="preserve">Phosphorylates ITAM/ITIM motifs to fine-tune immune signalling, activates PI3K–NF-κB downstream of TLR2, regulates platelet/integrin signalling, and modulates neuronal responses to amyloid-β (Berndt et al., 2019; Weerawarna &amp; Richardson,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Multi-kinase drugs with nanomolar Lyn potency: dasatinib, bosutinib, ponatinib, nintedanib, bafetinib, saracatinib. The benzimidazole Lyn-INH-59 offers greater selectivity in vitro (Berndt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Lyn over-expression or hyperactivation is linked to acute myeloid leukaemia and multiple solid tumours (Berndt et al., 2019). Germline Tyr508 variants (p.Tyr508His/Phe/*) cause early-onset systemic autoinflammatory disease (Unknown Authors, 2022). Cancer-associated SH3 mutations (e.g., D81N, W99L, E98K, V118M) destabilise autoinhibition (Berndt et al., 2019). Lyn-null mice develop lupus-like autoimmunity, highlighting its role in immune tolerance (Berndt et al., 2019).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Berndt, S., Gurevich, V., &amp; Iverson, T. M. (2019). Crystal structure of the SH3 domain of human Lyn non-receptor tyrosine kinase. PLoS ONE, 14(4), e0215140. https://doi.org/10.1371/journal.pone.0215140</w:t>
      </w:r>
    </w:p>
    <w:p>
      <w:pPr>
        <w:pStyle w:val="BodyText"/>
      </w:pPr>
      <w:r>
        <w:t xml:space="preserve">Ingley, E. (2012). Functions of the Lyn tyrosine kinase in health and disease. Cell Communication and Signaling, 10, 21. https://doi.org/10.1186/1478-811X-10-21</w:t>
      </w:r>
    </w:p>
    <w:p>
      <w:pPr>
        <w:pStyle w:val="BodyText"/>
      </w:pPr>
      <w:r>
        <w:t xml:space="preserve">Jin, L. L., Wybenga-Groot, L., Tong, J., Taylor, P., Minden, M., Trudel, S., McGlade, C., &amp; Moran, M. (2015). Tyrosine phosphorylation of the Lyn Src homology 2 domain modulates its binding affinity and specificity. Molecular &amp; Cellular Proteomics, 14(3), 695-706. https://doi.org/10.1074/mcp.M114.044404</w:t>
      </w:r>
    </w:p>
    <w:p>
      <w:pPr>
        <w:pStyle w:val="BodyText"/>
      </w:pPr>
      <w:r>
        <w:t xml:space="preserve">Kinoshita, T., Miyano, N., Nakai, R., Yokota, K., Ishiguro, H., &amp; Tada, T. (2008). Protein purification and preliminary crystallographic analysis of human Lyn tyrosine kinase. Protein Expression and Purification, 58(2), 318-324. https://doi.org/10.1016/j.pep.2008.01.007</w:t>
      </w:r>
    </w:p>
    <w:p>
      <w:pPr>
        <w:pStyle w:val="BodyText"/>
      </w:pPr>
      <w:r>
        <w:t xml:space="preserve">Kinoshita-Kikuta, E., Utsumi, T., Miyazaki, A., Tokumoto, C., Doi, K., Harada, H., Kinoshita, E., &amp; Koike, T. (2020). Protein-N-myristoylation-dependent phosphorylation of serine 13 of tyrosine kinase Lyn by casein kinase 1γ at the Golgi during intracellular protein traffic. Scientific Reports, 10, 16405. https://doi.org/10.1038/s41598-020-73248-0</w:t>
      </w:r>
    </w:p>
    <w:p>
      <w:pPr>
        <w:pStyle w:val="BodyText"/>
      </w:pPr>
      <w:r>
        <w:t xml:space="preserve">Sun, Y., Yang, Y., Zhao, Y., Li, X., Zhang, Y., &amp; Liu, Z. (2021). The role of the tyrosine kinase Lyn in allergy and cancer. Molecular Immunology, 133, 6-13. https://doi.org/10.1016/j.molimm.2020.12.028</w:t>
      </w:r>
    </w:p>
    <w:p>
      <w:pPr>
        <w:pStyle w:val="BodyText"/>
      </w:pPr>
      <w:r>
        <w:t xml:space="preserve">Unknown Authors. (2018). Lyn regulates drug resistance mechanisms in chronic myelogenous leukemia (CML). [Unpublished manuscript].</w:t>
      </w:r>
    </w:p>
    <w:p>
      <w:pPr>
        <w:pStyle w:val="BodyText"/>
      </w:pPr>
      <w:r>
        <w:t xml:space="preserve">Unknown Authors. (2022). De novo gain-of-function variations in LYN lead to an early onset systemic autoinflammatory disorder. [Unpublished manuscript].</w:t>
      </w:r>
    </w:p>
    <w:p>
      <w:pPr>
        <w:pStyle w:val="BodyText"/>
      </w:pPr>
      <w:r>
        <w:t xml:space="preserve">Weerawarna, P., &amp; Richardson, T. I. (2023). Lyn kinase structure, regulation, and involvement in neurodegenerative diseases: A mini review. Kinases and Phosphatases, 1(1), Article 4. https://doi.org/10.3390/kinasesphosphatases1010004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2025-07-03T17:56:26Z</dcterms:created>
  <dcterms:modified xsi:type="dcterms:W3CDTF">2025-07-03T17:56:26Z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