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Fgr is a cytoplasmic non-receptor tyrosine kinase of the Src family within the tyrosine-kinase (TK) group of the human kinome (Shen et al., 2018; Hunter &amp; Manning, 2015). Orthologs are conserved throughout vertebrates; mouse c-Fgr shares ~85 % overall and 92 % C-terminal sequence identity with the human enzyme, underscoring strong conservation of catalytic and regulatory regions (Unknown authors, 1995). Within the Src-family phylogram, Fgr clusters with Src, Yes, Fyn, Lyn, Hck, Lck and Blk, reflecting early gene-duplication events in vertebrate evolution (Link &amp; Zutter, 1995).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Protein-L-tyrosine + ATP ⇌ Protein-L-tyrosine-phosphate + ADP + H⁺ (Du et al., 2022; Shen et al., 2018).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Not reported in the cited literature.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A universal consensus motif has not been defined. Fgr phosphorylates ITAM-containing substrates such as the FcεRI γ-chain and Syk, indicating tolerance for YxxL/I contexts (Lee et al., 2011). Peptide studies show higher activity toward the activation-loop sequence KDDEYNPA (Tyr400) than toward the C-terminal tail peptide EPQYQPA (Ruzzene et al., 1994).</w:t>
      </w:r>
    </w:p>
    <w:p>
      <w:pPr>
        <w:pStyle w:val="BodyText"/>
      </w:pPr>
      <w:r>
        <w:t xml:space="preserve">Structure</w:t>
      </w:r>
      <w:r>
        <w:br/>
      </w:r>
      <w:r>
        <w:t xml:space="preserve">Domain architecture: N-terminal myristoylated unique segment, SH3 (res. 77–138), SH2 (144–241), SH2-kinase linker, bilobed kinase domain (263–516), and C-terminal regulatory tail (527–530) (Du et al., 2022).</w:t>
      </w:r>
      <w:r>
        <w:br/>
      </w:r>
      <w:r>
        <w:t xml:space="preserve">Crystal structures:</w:t>
      </w:r>
      <w:r>
        <w:br/>
      </w:r>
      <w:r>
        <w:t xml:space="preserve">• SH3 domain, 1.93 Å (PDB 7JT9) (Pérez et al., 2022).</w:t>
      </w:r>
      <w:r>
        <w:br/>
      </w:r>
      <w:r>
        <w:t xml:space="preserve">• Near-full-length Fgr bound to A-419259, 2.55 Å, closed Src-like state (PDB 7UY0) (Du et al., 2022).</w:t>
      </w:r>
      <w:r>
        <w:br/>
      </w:r>
      <w:r>
        <w:t xml:space="preserve">• Near-full-length Fgr bound to TL02-59, 2.99 Å, open DFG-out/αC-in state (PDB 7UY3) (Du et al., 2022).</w:t>
      </w:r>
      <w:r>
        <w:br/>
      </w:r>
      <w:r>
        <w:t xml:space="preserve">Key elements include the Lys295–Glu310 ion pair, DFG motif (Asp404), gatekeeper Thr338 and activation-loop Tyr416. An Asn-Pro-Cys (NPC) sequence replaces the canonical TAR motif, keeping Tyr416 solvent-exposed and favoring an extended inactive-loop conformation (Shen et al., 2018). Crystal packing reveals dimers in which one activation loop projects into the partner active site, rationalising trans-autophosphorylation (Du et al., 2022).</w:t>
      </w:r>
    </w:p>
    <w:p>
      <w:pPr>
        <w:pStyle w:val="BodyText"/>
      </w:pPr>
      <w:r>
        <w:t xml:space="preserve">Regulation</w:t>
      </w:r>
      <w:r>
        <w:br/>
      </w:r>
      <w:r>
        <w:t xml:space="preserve">Phosphorylation</w:t>
      </w:r>
      <w:r>
        <w:br/>
      </w:r>
      <w:r>
        <w:t xml:space="preserve">• Tyr416 (activation loop): autophosphorylation enhances activity (Shen et al., 2018).</w:t>
      </w:r>
      <w:r>
        <w:br/>
      </w:r>
      <w:r>
        <w:t xml:space="preserve">• Tyr527 (C-terminal tail): phosphorylated by C-terminal Src kinase (CSK); unlike other SFKs, this modification does not fully suppress Fgr catalytic output (Ruzzene et al., 1994; Shen et al., 2018).</w:t>
      </w:r>
      <w:r>
        <w:br/>
      </w:r>
      <w:r>
        <w:t xml:space="preserve">• Dual Tyr400/Tyr511 phosphorylation, promoted by polycationic effectors, shows Tyr400-mediated relief of Tyr511 inhibition (Ruzzene et al., 1994).</w:t>
      </w:r>
    </w:p>
    <w:p>
      <w:pPr>
        <w:pStyle w:val="BodyText"/>
      </w:pPr>
      <w:r>
        <w:t xml:space="preserve">Allosteric control</w:t>
      </w:r>
      <w:r>
        <w:br/>
      </w:r>
      <w:r>
        <w:t xml:space="preserve">Canonical SH3-linker and SH2-tail contacts can generate a closed conformation, yet Fgr retains unusually high basal activity, indicating weakened inter-domain coupling (Shen et al., 2018). ATP-site inhibitors drive large SH3/SH2 relocalisation, demonstrating drug-induced allostery (Du et al., 2022).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Expression: Enriched in myeloid lineages (neutrophils, monocytes, macrophages, mast cells) and mantle-zone B lymphocytes (Lee et al., 2011; Link &amp; Zutter, 1995).</w:t>
      </w:r>
      <w:r>
        <w:br/>
      </w:r>
      <w:r>
        <w:t xml:space="preserve">Upstream receptors: FcεRI, FcγR and β2/β1 integrins (Lee et al., 2011).</w:t>
      </w:r>
      <w:r>
        <w:br/>
      </w:r>
      <w:r>
        <w:t xml:space="preserve">Downstream signalling: Phosphorylates/activates Syk, LAT, SLP76, Gab2, Akt, ERK1/2, p38 and JNK, promoting mast-cell degranulation and cytokine/leukotriene production (Lee et al., 2011). Constitutive activity supports proliferation and transformation in acute myeloid leukaemia (AML) cells (Shen et al., 2018).</w:t>
      </w:r>
      <w:r>
        <w:br/>
      </w:r>
      <w:r>
        <w:t xml:space="preserve">Cellular roles: Facilitates IgE-mediated anaphylaxis, governs cytoskeletal rearrangement, adhesion and migration in neutrophils/macrophages, and can negatively modulate ITGB2-mediated phagocytosis in selected contexts (Lee et al., 2011).</w:t>
      </w:r>
    </w:p>
    <w:p>
      <w:pPr>
        <w:pStyle w:val="BodyText"/>
      </w:pPr>
      <w:r>
        <w:t xml:space="preserve">Inhibitors</w:t>
      </w:r>
      <w:r>
        <w:br/>
      </w:r>
      <w:r>
        <w:t xml:space="preserve">• A-419259: type I, αC-out/DFG-in, stabilises closed conformation (Du et al., 2022).</w:t>
      </w:r>
      <w:r>
        <w:br/>
      </w:r>
      <w:r>
        <w:t xml:space="preserve">• TL02-59: type II, αC-in/DFG-out, displaces SH3 and SH2, creating an open state (Du et al., 2022).</w:t>
      </w:r>
    </w:p>
    <w:p>
      <w:pPr>
        <w:pStyle w:val="BodyText"/>
      </w:pPr>
      <w:r>
        <w:t xml:space="preserve">Other Comments</w:t>
      </w:r>
      <w:r>
        <w:br/>
      </w:r>
      <w:r>
        <w:t xml:space="preserve">Over-expression and constitutive activation of Fgr are linked to AML (Shen et al., 2018). Cancer-associated SH3 mutations cluster in RT and distal loops, potentially perturbing regulatory interactions (Pérez et al., 2022). Fgr knock-down reduces passive cutaneous anaphylaxis in mice, highlighting therapeutic potential in allergic disease (Lee et al., 2011).</w:t>
      </w:r>
    </w:p>
    <w:p>
      <w:pPr>
        <w:pStyle w:val="BodyText"/>
      </w:pPr>
      <w:r>
        <w:t xml:space="preserve">References</w:t>
      </w:r>
      <w:r>
        <w:br/>
      </w:r>
      <w:r>
        <w:t xml:space="preserve">Du, S., Alvarado, J. J., Wales, T. E., Moroco, J. A., Engen, J. R., &amp; Smithgall, T. E. (2022). ATP-site inhibitors induce unique conformations of the acute myeloid leukemia-associated Src-family kinase, Fgr. Structure, 30, 1508–1517.e3. https://doi.org/10.1016/j.str.2022.08.008</w:t>
      </w:r>
    </w:p>
    <w:p>
      <w:pPr>
        <w:pStyle w:val="BodyText"/>
      </w:pPr>
      <w:r>
        <w:t xml:space="preserve">Hunter, T., &amp; Manning, G. (2015). The eukaryotic protein kinase superfamily and the emergence of receptor tyrosine kinases. In Receptor Tyrosine Kinases: Structure, Functions and Role in Human Disease (pp. 1–15). https://doi.org/10.1007/978-1-4939-2053-2_1</w:t>
      </w:r>
    </w:p>
    <w:p>
      <w:pPr>
        <w:pStyle w:val="BodyText"/>
      </w:pPr>
      <w:r>
        <w:t xml:space="preserve">Lee, J. H., Kim, J. W., Kim, D. K., Kim, H. S., Park, H. J., Park, D. K., Kim, A.-R., Kim, B., Beaven, M. A., Park, K. L., Kim, Y. M., &amp; Choi, W. S. (2011). The Src family kinase Fgr is critical for activation of mast cells and IgE-mediated anaphylaxis in mice. Journal of Immunology, 187, 1807–1815. https://doi.org/10.4049/jimmunol.1100296</w:t>
      </w:r>
    </w:p>
    <w:p>
      <w:pPr>
        <w:pStyle w:val="BodyText"/>
      </w:pPr>
      <w:r>
        <w:t xml:space="preserve">Link, D., &amp; Zutter, M. (1995). The proto-oncogene c-fgr is expressed in normal mantle zone B lymphocytes and is developmentally regulated during myelomonocytic differentiation in vivo. Blood, 85, 472–479. https://doi.org/10.1182/blood.v85.2.472.472</w:t>
      </w:r>
    </w:p>
    <w:p>
      <w:pPr>
        <w:pStyle w:val="BodyText"/>
      </w:pPr>
      <w:r>
        <w:t xml:space="preserve">Pérez, I., Berndt, S., Agarwal, R., Castro, M. A., Vishnivetskiy, S. A., Smith, J. C., Sanders, C. R., Gurevich, V. V., &amp; Iverson, T. M. (2022). A model for the signal initiation complex between arrestin-3 and the Src family kinase Fgr. Journal of Molecular Biology, 434, 167400. https://doi.org/10.1016/j.jmb.2021.167400</w:t>
      </w:r>
    </w:p>
    <w:p>
      <w:pPr>
        <w:pStyle w:val="BodyText"/>
      </w:pPr>
      <w:r>
        <w:t xml:space="preserve">Ruzzene, M., James, P., Brunati, A. M., Donella-Deana, A., &amp; Pinna, L. A. (1994). Regulation of c-Fgr protein kinase by c-Src kinase (Csk) and by polycationic effectors. Journal of Biological Chemistry, 269(22), 15885–15891. https://doi.org/10.1016/S0021-9258(17)40763-0</w:t>
      </w:r>
    </w:p>
    <w:p>
      <w:pPr>
        <w:pStyle w:val="BodyText"/>
      </w:pPr>
      <w:r>
        <w:t xml:space="preserve">Shen, K., Moroco, J. A., Patel, R. K., Shi, H., Engen, J. R., Dorman, H. R., &amp; Smithgall, T. E. (2018). The Src family kinase Fgr is a transforming oncoprotein that functions independently of SH3–SH2 domain regulation. Science Signaling. https://doi.org/10.1126/scisignal.aat5916</w:t>
      </w:r>
    </w:p>
    <w:p>
      <w:pPr>
        <w:pStyle w:val="BodyText"/>
      </w:pPr>
      <w:r>
        <w:t xml:space="preserve">Unknown authors. (1995). Expression of the c-fgr proto-oncogene in monoblastoid cells.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2025-07-03T22:46:07Z</dcterms:created>
  <dcterms:modified xsi:type="dcterms:W3CDTF">2025-07-03T22:46:07Z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