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A-Raf is one of three vertebrate Raf paralogues (A-Raf, B-Raf, C-Raf) that originated from a single invertebrate Raf gene (e.g. LIN-45 in C. elegans; D-Raf in D. melanogaster) (Marais et al., 1997). Orthologues are documented in mouse, rat, Xenopus, zebrafish, C. elegans and Drosophila, underscoring deep evolutionary conservation (A-Raf, 2010). Within the human kinome the enzyme belongs to the TKL group, MAP3K family, Raf subfamily (An et al., 2015). Of the three human isoforms, B-Raf is the most catalytically active and phylogenetically ancient, whereas A-Raf is the most divergent and exhibits the lowest intrinsic MEK-kinase activity (An et al., 2015).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protein-L-Ser/Thr-phosphate (Lavoie &amp; Therrien, 2015).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Mg²⁺ for catalytic turnover (A-Raf,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Physiological substrates are MEK1 and MEK2. A-Raf displays ≈20 % of C-Raf maximal activity and shows a cell-type-dependent preference for MEK1 over MEK2. No broad consensus peptide motif beyond recognition of the canonical MEK activation-loop serines has been defined (A-Raf, 2010).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organisation:</w:t>
      </w:r>
      <w:r>
        <w:br/>
      </w:r>
      <w:r>
        <w:t xml:space="preserve">– CR1: Ras-binding and cysteine-rich domains for Ras engagement/membrane recruitment.</w:t>
      </w:r>
      <w:r>
        <w:br/>
      </w:r>
      <w:r>
        <w:t xml:space="preserve">– CR2: Ser/Thr-rich segment harbouring the internal 14-3-3 site (Ser214) and multiple inhibitory phosphosites.</w:t>
      </w:r>
      <w:r>
        <w:br/>
      </w:r>
      <w:r>
        <w:t xml:space="preserve">– CR3: C-terminal kinase domain containing activation-segment Thr452/Thr455 and the C-terminal 14-3-3 site (Ser582) (An et al., 2015).</w:t>
      </w:r>
      <w:r>
        <w:br/>
      </w:r>
      <w:r>
        <w:t xml:space="preserve">• Adopts the side-to-side Raf dimer architecture observed in B-Raf complexes, with inward αC-helix movement and aligned regulatory/catalytic spines upon activation (Kondo et al., 2021).</w:t>
      </w:r>
      <w:r>
        <w:br/>
      </w:r>
      <w:r>
        <w:t xml:space="preserve">• Conserved catalytic motifs: HRD loop, DFG motif, activation segment and AS-H1 helix (Lavoie &amp; Therrien, 2015).</w:t>
      </w:r>
      <w:r>
        <w:br/>
      </w:r>
      <w:r>
        <w:t xml:space="preserve">• Unique Tyr296 in the N-region dampens basal activity; Src-mediated phosphorylation of neighbouring Tyr301/Tyr302 increases activity (An et al., 2015).</w:t>
      </w:r>
      <w:r>
        <w:br/>
      </w:r>
      <w:r>
        <w:t xml:space="preserve">• Ser257/Ser262/Ser264 in the hinge influence membrane interactions and localisation (A-Raf, 2010).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Ser214 phosphorylation creates a high-affinity 14-3-3 docking site that suppresses activity; Ser582 forms a secondary, non-essential 14-3-3 site (An et al., 2015).</w:t>
      </w:r>
      <w:r>
        <w:br/>
      </w:r>
      <w:r>
        <w:t xml:space="preserve">• Ser432 phosphorylation is required for productive MEK binding/catalysis (A-Raf, 2010).</w:t>
      </w:r>
      <w:r>
        <w:br/>
      </w:r>
      <w:r>
        <w:t xml:space="preserve">• Activation-segment Thr452/Thr455 are critical for maximal Ras12V/Lck-driven activation (An et al., 2015).</w:t>
      </w:r>
      <w:r>
        <w:br/>
      </w:r>
      <w:r>
        <w:t xml:space="preserve">• Phosphorylation of Ser257/Ser262/Ser264 promotes dissociation from the plasma membrane (A-Raf, 2010).</w:t>
      </w:r>
      <w:r>
        <w:br/>
      </w:r>
      <w:r>
        <w:t xml:space="preserve">• Src family kinases phosphorylate Tyr301/Tyr302 to enhance activity, while Tyr296 is inhibitory (Lavoie &amp; Therrien, 2015).</w:t>
      </w:r>
      <w:r>
        <w:br/>
      </w:r>
      <w:r>
        <w:t xml:space="preserve">• CK2β binding markedly augments catalytic output (A-Raf, 2010).</w:t>
      </w:r>
      <w:r>
        <w:br/>
      </w:r>
      <w:r>
        <w:t xml:space="preserve">• mTORC2 directly phosphorylates A-Raf to modulate Smad2 signalling (An et al., 2015).</w:t>
      </w:r>
      <w:r>
        <w:br/>
      </w:r>
      <w:r>
        <w:t xml:space="preserve">• 14-3-3 dimers stabilise inactive monomers or active dimers depending on phosphosite occupancy (Kondo et al., 2021).</w:t>
      </w:r>
      <w:r>
        <w:br/>
      </w:r>
      <w:r>
        <w:t xml:space="preserve">• Autoinhibition is relieved by Ras-GTP binding to CR1, lipid-dependent membrane anchoring and kinase-domain dimerisation (Lavoie &amp; Therrien,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epididymis, ovary, liver, uterus and kidney; low in neural tissues (An et al., 2015). Localises predominantly to cytoplasm, translocates to plasma membrane on Ras activation, and is also present at mitochondria and tubular endosomes (A-Raf, 2010). Upstream activators include Ras-GTP, Gα12, PDGFR signalling via p85 PI3K SH2 interaction, and membrane phosphoinositides (An et al., 2015). Downstream outputs comprise MEK1/2-ERK activation, inhibition of MST2, regulation of pyruvate kinase M2 tetramerisation, and phosphorylation of PKCδ through an mTORC2 pathway (A-Raf, 2010). Reported biological roles include promotion of cell proliferation and migration, inhibition of apoptosis, regulation of aerobic glycolysis and participation in endocytic trafficking (Mooz et al., 2014).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Somatic activating ARAF mutations occur in lung adenocarcinoma and signal through Ras-independent dimerisation (Su et al., 2022). Over-expression is noted in astrocytic, head-and-neck, colon and pancreatic cancers (A-Raf, 2010). A-Raf knockout mice die post-natally with neurological and intestinal defects, indicating non-redundant developmental functions (A-Raf, 2010). Alternative splice variants DA-Raf1 and DA-Raf2 retain CR1 but lack the kinase domain, acting as dominant-negative inhibitors of Ras–ERK signalling and influencing myogenic differentiation (An et al., 2015).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A-Raf. (2010). A-Raf [Database record].</w:t>
      </w:r>
    </w:p>
    <w:p>
      <w:pPr>
        <w:pStyle w:val="BodyText"/>
      </w:pPr>
      <w:r>
        <w:t xml:space="preserve">An, S., Yang, Y., Ward, R., Liu, Y., Guo, X.-X., &amp; Xu, T.-R. (2015). A-Raf: A new star of the family of Raf kinases. Critical Reviews in Biochemistry and Molecular Biology, 50, 520–531. https://doi.org/10.3109/10409238.2015.1102858</w:t>
      </w:r>
    </w:p>
    <w:p>
      <w:pPr>
        <w:pStyle w:val="BodyText"/>
      </w:pPr>
      <w:r>
        <w:t xml:space="preserve">Kondo, Y., Paul, J. W., Subramaniam, S., &amp; Kuriyan, J. (2021). New insights into Raf regulation from structural analyses. Current Opinion in Structural Biology, 71, 223–231. https://doi.org/10.1016/j.sbi.2021.07.005</w:t>
      </w:r>
    </w:p>
    <w:p>
      <w:pPr>
        <w:pStyle w:val="BodyText"/>
      </w:pPr>
      <w:r>
        <w:t xml:space="preserve">Lavoie, H., &amp; Therrien, M. (2015). Regulation of Raf protein kinases in ERK signalling. Nature Reviews Molecular Cell Biology, 16, 281–298. https://doi.org/10.1038/nrm3979</w:t>
      </w:r>
    </w:p>
    <w:p>
      <w:pPr>
        <w:pStyle w:val="BodyText"/>
      </w:pPr>
      <w:r>
        <w:t xml:space="preserve">Marais, R., Light, Y., Paterson, H., Mason, C., &amp; Marshall, C. (1997). Differential regulation of Raf-1, A-Raf, and B-Raf by oncogenic Ras and tyrosine kinases. Journal of Biological Chemistry, 272, 4378–4383. https://doi.org/10.1074/jbc.272.7.4378</w:t>
      </w:r>
    </w:p>
    <w:p>
      <w:pPr>
        <w:pStyle w:val="BodyText"/>
      </w:pPr>
      <w:r>
        <w:t xml:space="preserve">Mooz, J., Oberoi-Khanuja, T. K., Harms, G. S., Wang, W., Jaiswal, B. S., Seshagiri, S., Tikkanen, R., &amp; Rajalingam, K. (2014). Dimerization of the kinase A-Raf promotes MAPK pathway activation and cell migration. Science Signaling, 7, ra73. https://doi.org/10.1126/scisignal.2005484</w:t>
      </w:r>
    </w:p>
    <w:p>
      <w:pPr>
        <w:pStyle w:val="BodyText"/>
      </w:pPr>
      <w:r>
        <w:t xml:space="preserve">Su, W., Mukherjee, R., Yaeger, R., Son, J., Xu, J., Na, N., … Rosen, N. (2022). A-Raf protein kinase activates Ras by antagonizing its binding to RasGAP NF1. Molecular Cell. https://doi.org/10.1016/j.molcel.2022.04.034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2025-07-03T22:15:45Z</dcterms:created>
  <dcterms:modified xsi:type="dcterms:W3CDTF">2025-07-03T22:15:45Z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