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The PIM kinase family belongs to the CAMK (Ca²⁺/calmodulin-dependent protein kinase) group of the human kinome on the basis of catalytic-domain sequence homology and phylogenetic analysis (Manning et al., 2002).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(Bogusz et al., 2017; Bullock et al., 2009; Zhang et al., 2018).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(Bogusz et al., 2017; Bullock et al., 2009; Iyer et al., 2017).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PIM1 shows a strong preference for substrates that contain a basic residue three positions N-terminal to the phosphorylation site, with Arg at P-3 being a defining determinant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PIM1 adopts the canonical bi-lobed protein-kinase fold with an N-terminal β-sheet-rich lobe (residues 37–122) and a predominantly α-helical C-terminal lobe (residues 126–305) joined by a short hinge (residues 123–125). The ATP pocket is bordered by a glycine-rich loop (residues 44–52) and an activation segment (residues 185–204). Key elements include the C-helix, DFG motif and a hydrophobic spine (Bullock et al., 2009; Bogusz et al., 2017). A unique Pro123 in the hinge substitutes for the usual main-chain hydrogen-bond donor, altering ATP interactions (Bogusz et al., 2017; Kumar et al., 2005; Merkel et al., 2012). Crystal structures show PIM1 in a constitutively active conformation that does not require activation-loop phosphorylation (Bullock et al., 2009; Merkel et al., 2012).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Enzymatic activity is constitutive; control occurs mainly through transcription and protein stability (Bogusz et al., 2017; Unknown authors, 2019). Cytokine- and growth-factor-driven JAK-STAT and NF-κB pathways up-regulate PIM1 expression (Bogusz et al., 2017). The protein has a short half-life (&lt; 5 min) and is degraded via the ubiquitin–proteasome system; Hsp90 stabilises whereas Hsp70 promotes degradation (Merkel et al., 2012). PP2A-mediated dephosphorylation enhances ubiquitylation and turnover (Merkel et al., 2012; Nock et al., 2023). Autophosphorylation may aid stability, and phosphorylation at Tyr218 by ETK increases catalytic activity (Merkel et al., 2012).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PIM1 is a proto-oncogenic serine/threonine kinase that supports cell survival and proliferation. It is normally expressed at low levels but is frequently over-expressed in haematopoietic and several solid tumours (Bogusz et al., 2017; Bullock et al., 2009).</w:t>
      </w:r>
      <w:r>
        <w:br/>
      </w:r>
      <w:r>
        <w:t xml:space="preserve">Major substrates and downstream effects:</w:t>
      </w:r>
      <w:r>
        <w:br/>
      </w:r>
      <w:r>
        <w:t xml:space="preserve">• MYC (Ser62, Ser329) – stabilisation and enhanced transcriptional activity (Bogusz et al., 2017; Zhang et al., 2018).</w:t>
      </w:r>
      <w:r>
        <w:br/>
      </w:r>
      <w:r>
        <w:t xml:space="preserve">• BAD (Ser112) and ASK1 – inhibition of apoptosis (Bullock et al., 2009; Merkel et al., 2012).</w:t>
      </w:r>
      <w:r>
        <w:br/>
      </w:r>
      <w:r>
        <w:t xml:space="preserve">• p21^Cip1/WAF1, Cdc25A, histone H3 (Ser10) – promotion of cell-cycle progression (Bullock et al., 2009; Unknown authors, 2021).</w:t>
      </w:r>
      <w:r>
        <w:br/>
      </w:r>
      <w:r>
        <w:t xml:space="preserve">• PRAS40 – modulation of mTOR signalling (Merkel et al., 2012).</w:t>
      </w:r>
      <w:r>
        <w:br/>
      </w:r>
      <w:r>
        <w:t xml:space="preserve">• ABC transporters (e.g., BCRP/ABCG2) – contribution to drug resistance (Merkel et al., 2012; Lee et al., 2013).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Most reported inhibitors are ATP-competitive and recognise the active ATP pocket (Merkel et al., 2012; Bogusz et al., 2017). Compounds that have progressed to clinical trials include SGI-1776, AZD1208 and LGH447 (Zhang et al., 2018; Unknown authors, 2015). CX-6258 is a potent pan-PIM/Flt-3 inhibitor (Bogusz et al., 2017). Additional chemotypes encompass imidazo[1,2-b]pyridazines, organoruthenium complexes and pyridones (Bullock et al., 2009; Lee et al., 2013). Off-target inhibitors with significant PIM1 activity include CX-4945, Ro-3306 and LY294002 (Bogusz et al., 2017; Unknown authors, 2009).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PIM1 was originally identified as a proviral integration site for Moloney leukaemia virus and cooperates with MYC to accelerate tumorigenesis. Over-expression correlates with poor prognosis and chemoresistance in acute myeloid/lymphoid leukaemias, diffuse large B-cell lymphoma and prostate, breast and pancreatic cancers (Bogusz et al., 2017; Zhang et al., 2018). Aberrant somatic hypermutations are reported in non-Hodgkin’s lymphoma (Kumar et al., 2005). The mild phenotype of Pim1-knockout mice suggests an acceptable therapeutic window for pharmacological inhibition (Bogusz et al., 2017).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Bogusz, J., Zrubek, K., Rembacz, K. P., Grudnik, P., Golik, P., Romanowska, M., Wladyka, B., &amp; Dubin, G. (2017). Structural analysis of PIM1 kinase complexes with ATP-competitive inhibitors. Scientific Reports, 7, 13557. https://doi.org/10.1038/s41598-017-13557-z</w:t>
      </w:r>
    </w:p>
    <w:p>
      <w:pPr>
        <w:pStyle w:val="BodyText"/>
      </w:pPr>
      <w:r>
        <w:t xml:space="preserve">Brown, A. N., Russo, S., Amos, A., Pagano, N., Bregman, H., Debreczeni, J. É., Lee, W. H., von Delft, F., Meggers, E., &amp; Knapp, S. (2009). Crystal structure of the PIM2 kinase in complex with an organoruthenium inhibitor. PLoS ONE, 4, e7112. https://doi.org/10.1371/journal.pone.0007112</w:t>
      </w:r>
    </w:p>
    <w:p>
      <w:pPr>
        <w:pStyle w:val="BodyText"/>
      </w:pPr>
      <w:r>
        <w:t xml:space="preserve">Iyer, R. S., Chatham, L., Sleigh, R., &amp; Meek, D. (2017). A functional SUMO motif in the active site of PIM1 promotes its degradation via RNF4 and stimulates protein kinase activity. Scientific Reports, 7, 377. https://doi.org/10.1038/s41598-017-03775-w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Kumar, A., Mandiyan, V., Suzuki, Y., Zhang, C., Rice, J., Tsai, J., Artis, D., Ibrahim, P., &amp; Bremer, R. (2005). Crystal structures of proto-oncogene kinase PIM1: a target of aberrant somatic hypermutations in diffuse large cell lymphoma. Journal of Molecular Biology, 348(1), 183–193. https://doi.org/10.1016/j.jmb.2005.02.039</w:t>
      </w:r>
    </w:p>
    <w:p>
      <w:pPr>
        <w:pStyle w:val="BodyText"/>
      </w:pPr>
      <w:r>
        <w:t xml:space="preserve">Lee, S. J., Han, B.-G., Cho, J.-W., Choi, J.-S., Lee, J., Song, H.-J., Koh, J. S., &amp; Lee, B. I. (2013). Crystal structure of PIM1 kinase in complex with a pyrido[4,3-d]pyrimidine derivative suggests a unique binding mode. PLoS ONE, 8, e70358. https://doi.org/10.1371/journal.pone.0070358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Merkel, A. L., Meggers, E., &amp; Ocker, M. (2012). PIM1 kinase as a target for cancer therapy. Expert Opinion on Investigational Drugs, 21, 425–436. https://doi.org/10.1517/13543784.2012.668527</w:t>
      </w:r>
    </w:p>
    <w:p>
      <w:pPr>
        <w:pStyle w:val="BodyText"/>
      </w:pPr>
      <w:r>
        <w:t xml:space="preserve">Nock, S., Karim, E., &amp; Unsworth, A. (2023). PIM kinases: Important regulators of cardiovascular disease. International Journal of Molecular Sciences, 24, 11582. https://doi.org/10.3390/ijms241411582</w:t>
      </w:r>
    </w:p>
    <w:p>
      <w:pPr>
        <w:pStyle w:val="BodyText"/>
      </w:pPr>
      <w:r>
        <w:t xml:space="preserve">Unknown authors. (2009). The role of PIM1 in cell survival (pp. 109–112).</w:t>
      </w:r>
    </w:p>
    <w:p>
      <w:pPr>
        <w:pStyle w:val="BodyText"/>
      </w:pPr>
      <w:r>
        <w:t xml:space="preserve">Unknown authors. (2015). Mutational analysis of isoform selectivity and conformational equilibria in protein kinase inhibition (pp. 28–32).</w:t>
      </w:r>
    </w:p>
    <w:p>
      <w:pPr>
        <w:pStyle w:val="BodyText"/>
      </w:pPr>
      <w:r>
        <w:t xml:space="preserve">Unknown authors. (2019). Role of PIM oncogenes in the biology and chemoresistance of aggressive lymphomas (pp. 20–23).</w:t>
      </w:r>
    </w:p>
    <w:p>
      <w:pPr>
        <w:pStyle w:val="BodyText"/>
      </w:pPr>
      <w:r>
        <w:t xml:space="preserve">Unknown authors. (2021). Altes Target, Neue Hits—Entwicklung von Inhibitoren für die PIM1-Kinase (pp. 421–423).</w:t>
      </w:r>
    </w:p>
    <w:p>
      <w:pPr>
        <w:pStyle w:val="BodyText"/>
      </w:pPr>
      <w:r>
        <w:t xml:space="preserve">Zhang, X., Song, M., Kundu, J., Lee, M.-H., &amp; Liu, Z.-Z. (2018). PIM kinase as an executional target in cancer. Journal of Cancer Prevention, 23, 109–116. https://doi.org/10.15430/jcp.2018.23.3.109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2025-07-03T22:08:33Z</dcterms:created>
  <dcterms:modified xsi:type="dcterms:W3CDTF">2025-07-03T22:08:33Z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