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Classified within the Ca²⁺/calmodulin-dependent protein kinase (CaMK) group, CAMK1/2 branch of the human kinome (Byrne et al., 2023).</w:t>
      </w:r>
      <w:r>
        <w:br/>
      </w:r>
      <w:r>
        <w:t xml:space="preserve">• Closest paralogue is PSKH2, a catalytically impaired pseudokinase that diverged from PSKH1 but retains the kinase fold (Byrne et al., 2023).</w:t>
      </w:r>
      <w:r>
        <w:br/>
      </w:r>
      <w:r>
        <w:t xml:space="preserve">• Shares conserved catalytic and regulatory motifs with CaMK1γ and CaMK2 (“Illuminating the Regulation…”, 2024, pp. 9–11).</w:t>
      </w:r>
      <w:r>
        <w:br/>
      </w:r>
      <w:r>
        <w:t xml:space="preserve">• PSKH1 orthologues are present throughout vertebrates, whereas PSKH2 is lost from mouse and rat genomes, indicating differential evolutionary retention (Shrestha et al., 2020).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protein-Ser/Thr ⇌ ADP + protein-Ser/Thr-P (“Illuminating the Regulation…”, 2024, pp. 78–84, 131–137).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• Mg²⁺ is obligatory for phosphotransfer (“Illuminating the Regulation…”, 2024, pp. 78–84).</w:t>
      </w:r>
      <w:r>
        <w:br/>
      </w:r>
      <w:r>
        <w:t xml:space="preserve">• Ca²⁺/calmodulin enhances, but is not essential for, basal activity (“Illuminating the Regulation…”, 2024, pp. 101–108, 131–137).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Positional-scanning peptide arrays defined a basophilic consensus L-x-R-T-x-S*-F-x-x-x with a strict Arg at –3 and a strong preference for serine over threonine as the phospho-acceptor (“Illuminating the Regulation…”, 2024, pp. 175–180).</w:t>
      </w:r>
      <w:r>
        <w:br/>
      </w:r>
      <w:r>
        <w:t xml:space="preserve">• Independent profiling confirmed the Arg(–3) bias and overall serine selectivity (Horne et al., 2025).</w:t>
      </w:r>
    </w:p>
    <w:p>
      <w:pPr>
        <w:pStyle w:val="BodyText"/>
      </w:pPr>
      <w:r>
        <w:t xml:space="preserve">Structure</w:t>
      </w:r>
      <w:r>
        <w:br/>
      </w:r>
      <w:r>
        <w:t xml:space="preserve">• N-terminus (res. 1–30): dual lipidation sites Gly2 (N-myristoylation) and Cys3 (palmitoylation) plus a PxxP SH3-binding motif (“Illuminating the Regulation…”, 2024, pp. 201–206).</w:t>
      </w:r>
      <w:r>
        <w:br/>
      </w:r>
      <w:r>
        <w:t xml:space="preserve">• Two calmodulin-binding domains (CBDs): an N-terminal CBD (~80–100; inverted 1-5-8 motif, Phe90 anchor) and a C-terminal CBD containing autophospho-Ser372 that modulates CaM affinity (“Illuminating the Regulation…”, 2024, pp. 140–144).</w:t>
      </w:r>
      <w:r>
        <w:br/>
      </w:r>
      <w:r>
        <w:t xml:space="preserve">• Catalytic core (≈86–424) retains canonical VAIK (Lys104), HRD (Asp218) and DFG (Asp254) motifs; deletions beyond residue 98 abolish activity (“Illuminating the Regulation…”, 2024, pp. 140–144).</w:t>
      </w:r>
      <w:r>
        <w:br/>
      </w:r>
      <w:r>
        <w:t xml:space="preserve">• Activation segment sites: Thr256 (major autophosphorylation), Thr260, Ser363 and Ser372 (“Illuminating the Regulation…”, 2024, pp. 101–108, 140–144).</w:t>
      </w:r>
      <w:r>
        <w:br/>
      </w:r>
      <w:r>
        <w:t xml:space="preserve">• AlphaFold2 predicts a head-to-toe homodimer that can engage CaM at both termini; no crystal or NMR structure is available (model AF-P11801-F1) (“Illuminating the Regulation…”, 2024, pp. 140–144).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modifications</w:t>
      </w:r>
      <w:r>
        <w:br/>
      </w:r>
      <w:r>
        <w:t xml:space="preserve">– Cis-autophosphorylation at Thr256, Thr260, Ser363 and Ser372 increases catalytic turnover (“Illuminating the Regulation…”, 2024, pp. 101–108, 140–144).</w:t>
      </w:r>
      <w:r>
        <w:br/>
      </w:r>
      <w:r>
        <w:t xml:space="preserve">– N-myristoylation (Gly2) and palmitoylation (Cys3) drive membrane and Golgi localisation (“Illuminating the Regulation…”, 2024, pp. 201–206).</w:t>
      </w:r>
    </w:p>
    <w:p>
      <w:pPr>
        <w:pStyle w:val="BodyText"/>
      </w:pPr>
      <w:r>
        <w:t xml:space="preserve">Allosteric control</w:t>
      </w:r>
      <w:r>
        <w:br/>
      </w:r>
      <w:r>
        <w:t xml:space="preserve">– Ca²⁺/calmodulin modestly stimulates activity at low Ca²⁺ (“Illuminating the Regulation…”, 2024, pp. 131–137).</w:t>
      </w:r>
      <w:r>
        <w:br/>
      </w:r>
      <w:r>
        <w:t xml:space="preserve">– Ca²⁺ sensors Reticulocalbin-1/-3 suppress autophosphorylation and catalytic output, whereas calumenin selectively reduces autophosphorylation (“Illuminating the Regulation…”, 2024, pp. 131–137).</w:t>
      </w:r>
      <w:r>
        <w:br/>
      </w:r>
      <w:r>
        <w:t xml:space="preserve">– UNC119B binds the kinase domain and enhances activity independently of N-terminal acylation (Horne et al., 2025).</w:t>
      </w:r>
      <w:r>
        <w:br/>
      </w:r>
      <w:r>
        <w:t xml:space="preserve">– Glucose withdrawal up-regulates kinase activity, linking PSKH1 to metabolic stress (“Illuminating the Regulation…”, 2024, pp. 16–21).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&amp; localisation</w:t>
      </w:r>
      <w:r>
        <w:br/>
      </w:r>
      <w:r>
        <w:t xml:space="preserve">• Broadly expressed with highest levels in testis; over-expressed in prostate, lung and kidney cancers (Horne et al., 2025; “Illuminating the Regulation…”, 2024, pp. 21–24).</w:t>
      </w:r>
      <w:r>
        <w:br/>
      </w:r>
      <w:r>
        <w:t xml:space="preserve">• Localises to Golgi, centrosome, nucleus and, when dually acylated, the plasma membrane (“Illuminating the Regulation…”, 2024, pp. 189–193, 201–206).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• Phosphorylates SR-rich splice factors, modulating pre-mRNA splicing (“Illuminating the Regulation…”, 2024, pp. 16–21).</w:t>
      </w:r>
      <w:r>
        <w:br/>
      </w:r>
      <w:r>
        <w:t xml:space="preserve">• Acts as a metabolic sensor that promotes fatty-acid utilisation and prostate cancer cell proliferation under glucose scarcity (“Illuminating the Regulation…”, 2024, pp. 175–180, 189–193).</w:t>
      </w:r>
      <w:r>
        <w:br/>
      </w:r>
      <w:r>
        <w:t xml:space="preserve">• Regulates vesicle trafficking and cell migration via interactions with SORBS1, PAK4 and other actin-related proteins (“Illuminating the Regulation…”, 2024, pp. 210–214).</w:t>
      </w:r>
      <w:r>
        <w:br/>
      </w:r>
      <w:r>
        <w:t xml:space="preserve">• Direct substrate: phosphorylates RSK1 at Ser380, facilitating PDK1-dependent RSK1 activation and downstream inhibition of eEF2K (“Illuminating the Regulation…”, 2024, pp. 180–185).</w:t>
      </w:r>
      <w:r>
        <w:br/>
      </w:r>
      <w:r>
        <w:t xml:space="preserve">• Upstream kinase: PAK1 can phosphorylate PSKH1 Thr256 in vitro (“Illuminating the Regulation…”, 2024, pp. 157–163).</w:t>
      </w:r>
      <w:r>
        <w:br/>
      </w:r>
      <w:r>
        <w:t xml:space="preserve">• Interactome includes Golgi resident GOLGA8R and Ca²⁺ sensor Reticulocalbin-3 (Horne et al., 2025).</w:t>
      </w:r>
    </w:p>
    <w:p>
      <w:pPr>
        <w:pStyle w:val="BodyText"/>
      </w:pPr>
      <w:r>
        <w:t xml:space="preserve">Inhibitors</w:t>
      </w:r>
      <w:r>
        <w:br/>
      </w:r>
      <w:r>
        <w:t xml:space="preserve">• ATP-competitive compound “C2” inhibits PSKH1 and blocks proliferation of PSKH1-positive prostate cancer cells under glucose stress (“Illuminating the Regulation…”, 2024, pp. 175–180).</w:t>
      </w:r>
      <w:r>
        <w:br/>
      </w:r>
      <w:r>
        <w:t xml:space="preserve">• Chemoproteomic screens identified afatinib and neratinib as covalent binders, although potency was not reported (Shrestha et al.,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Disease links: driver of metastatic prostate cancer, loss-of-function mutations associated with hepatorenal ciliopathy, and P66L/R79L variants linked to Crohn’s disease (“Illuminating the Regulation…”, 2024, pp. 175–180, 201–206; Horne et al., 2025).</w:t>
      </w:r>
      <w:r>
        <w:br/>
      </w:r>
      <w:r>
        <w:t xml:space="preserve">• Experimental gap: lack of a phospho-Thr256–specific antibody hampers direct monitoring of activation-loop status (“Illuminating the Regulation…”, 2024, pp. 157–163).</w:t>
      </w:r>
    </w:p>
    <w:p>
      <w:pPr>
        <w:pStyle w:val="BodyText"/>
      </w:pPr>
      <w:r>
        <w:t xml:space="preserve">References</w:t>
      </w:r>
      <w:r>
        <w:br/>
      </w:r>
      <w:r>
        <w:t xml:space="preserve">Byrne, D. P., Shrestha, S., Daly, L. A., Marensi, V., Ramakrishnan, K., Eyers, C. E., Kannan, N., &amp; Eyers, P. A. (2023). Evolutionary and cellular analysis of the ‘dark’ pseudokinase PSKH2. Biochemical Journal, 480, 141–160. https://doi.org/10.1042/BCJ20220474</w:t>
      </w:r>
    </w:p>
    <w:p>
      <w:pPr>
        <w:pStyle w:val="BodyText"/>
      </w:pPr>
      <w:r>
        <w:t xml:space="preserve">Horne, C. R., Dite, T. A., Young, S. N., Mather, L. J., Dagley, L. F., Johnson, J. L., … Murphy, J. M. (2025). PSKH1 kinase activity is differentially modulated via allosteric binding of Ca²⁺ sensor proteins. Proceedings of the National Academy of Sciences. https://doi.org/10.1073/pnas.2420961122</w:t>
      </w:r>
    </w:p>
    <w:p>
      <w:pPr>
        <w:pStyle w:val="BodyText"/>
      </w:pPr>
      <w:r>
        <w:t xml:space="preserve">Shrestha, S., Byrne, D. P., Harris, J. A., Kannan, N., &amp; Eyers, P. A. (2020). Cataloguing the dead: Breathing new life into pseudokinase research. FEBS Journal, 287, 4150–4169. https://doi.org/10.1111/febs.15246</w:t>
      </w:r>
    </w:p>
    <w:p>
      <w:pPr>
        <w:pStyle w:val="BodyText"/>
      </w:pPr>
      <w:r>
        <w:t xml:space="preserve">Unknown Authors. (2024). Illuminating the Regulation of the Dark Kinase PSKH1 (pp. 9–214). [Details unavailable].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2025-07-03T18:20:51Z</dcterms:created>
  <dcterms:modified xsi:type="dcterms:W3CDTF">2025-07-03T18:20:51Z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