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CSNK2A2 encodes the catalytic subunit CK2α′ of protein kinase CK2. Within the kinome it belongs to the CMGC group and CK2 family of Ser/Thr kinases (Manning et al., 2002; Cesaro et al., 2023; Johnson et al., 2023). CSNK2A2 and its paralog CSNK2A1 (CK2α) arose from a gene-duplication event (Pirrello et al., 2005). Orthologs are conserved in major model organisms, including mouse, fruit fly and yeast, underscoring its evolutionary conservation (Pirrello et al., 2005; Unni et al., 2022).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Protein-Ser/Thr + ATP + Mg²⁺ ⇌ Protein-Ser/Thr-P + ADP + Mg²⁺ (Johnson et al., 2023).</w:t>
      </w:r>
      <w:r>
        <w:br/>
      </w:r>
      <w:r>
        <w:t xml:space="preserve">(The enzyme can also use GTP, but only the ATP-dependent reaction is shown.)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metal ions—primarily Mg²⁺; Mn²⁺ can substitute (Cesaro et al., 2023; Manning et al., 2002; Strum et al., 2022).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CK2α′ is an acidophilic Ser/Thr kinase that favors acidic or phosphorylated residues near the phospho-acceptor site. The consensus motif is S/T-X-X-D/E/pS (Roffey &amp; Litchfield, 2021; 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CK2α′ adopts the classical bilobal kinase fold: a β-sheet-rich N-lobe (with an αC-helix) and an α-helical C-lobe (Johnson et al., 2023). It functions as a monomer or within a heterotetrameric holoenzyme composed of two catalytic (α/α′) and two regulatory β subunits (Trembley et al., 2023; Roffey &amp; Litchfield, 2021). Unique structural features include:</w:t>
      </w:r>
      <w:r>
        <w:br/>
      </w:r>
      <w:r>
        <w:t xml:space="preserve">• an unusually long activation loop that locks the kinase in a constitutively active conformation, and</w:t>
      </w:r>
      <w:r>
        <w:br/>
      </w:r>
      <w:r>
        <w:t xml:space="preserve">• substitution of the third Gly in the canonical G-x-G-x-x-G motif by Ser, influencing substrate recognition (Roffey &amp; Litchfield, 2021; Unknown authors,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CK2α′ is constitutively active and does not require activation-loop phosphorylation or second messengers (Rabalski et al., 2016; Roffey &amp; Litchfield, 2021). Regulation occurs through:</w:t>
      </w:r>
      <w:r>
        <w:br/>
      </w:r>
      <w:r>
        <w:t xml:space="preserve">• post-translational modifications (phosphorylation, glycosylation, acetylation),</w:t>
      </w:r>
      <w:r>
        <w:br/>
      </w:r>
      <w:r>
        <w:t xml:space="preserve">• subcellular relocalisation, and</w:t>
      </w:r>
      <w:r>
        <w:br/>
      </w:r>
      <w:r>
        <w:t xml:space="preserve">• assembly with the regulatory CK2β dimer, which modulates substrate specificity but is not essential for catalysis (St-Denis &amp; Litchfield, 2009; Roffey &amp; Litchfield,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Highly expressed in brain (especially hippocampus and prefrontal cortex) and testes; peaks during late spermatogenesis. Nuclear in G1 and cytoplasmic in S phase (Montenarh &amp; Götz, 2023).</w:t>
      </w:r>
      <w:r>
        <w:br/>
      </w:r>
      <w:r>
        <w:t xml:space="preserve">Cellular roles: Phosphorylates hundreds of substrates to regulate cell-cycle progression, apoptosis, transcription and DNA repair (Rabalski et al., 2016).</w:t>
      </w:r>
      <w:r>
        <w:br/>
      </w:r>
      <w:r>
        <w:t xml:space="preserve">Pathways: Participates in Wnt, JAK-STAT, PI3K/AKT and NF-κB signalling (Strum et al., 2022; Unknown authors, 2016).</w:t>
      </w:r>
      <w:r>
        <w:br/>
      </w:r>
      <w:r>
        <w:t xml:space="preserve">Documented substrates / partners include TP53, AKT, PTEN, STAT3, RELA, caspase-3, RAD51 and EIF2β; 155 direct interactors have been catalogued (Strum et al., 2022; Roffey &amp; Litchfield, 2021; Unknown authors,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Experimental inhibitors under clinical/ pre-clinical evaluation:</w:t>
      </w:r>
      <w:r>
        <w:br/>
      </w:r>
      <w:r>
        <w:t xml:space="preserve">• CX-4945 (Silmitasertib) – ATP-competitive small-molecule inhibitor.</w:t>
      </w:r>
      <w:r>
        <w:br/>
      </w:r>
      <w:r>
        <w:t xml:space="preserve">• CIGB-300 – cell-permeable cyclic-peptide inhibitor.</w:t>
      </w:r>
      <w:r>
        <w:br/>
      </w:r>
      <w:r>
        <w:t xml:space="preserve">Both exhibit antitumor activity (Rabalski et al., 2016; Roffey &amp; Litchfield,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CK2α′ dysregulation is linked to numerous cancers (breast, lung, prostate, colon) and often correlates with poor prognosis (Rabalski et al., 2016; Strum et al., 2022). Associations have also been reported with neurodegenerative diseases (Roffey &amp; Litchfield, 2021). Loss-of-function CSNK2A2 mutations cause Okur-Chung Neurodevelopmental Syndrome, and complete CK2 knockout is embryonic-lethal (Trembley et al., 2023; Unni et al., 2022).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Cesaro, L., Zuliani, A. M., Bosello Travain, V., &amp; Salvi, M. (2023). Exploring protein kinase CK2 substrate recognition and the dynamic response of substrate phosphorylation to kinase modulation. Kinases and Phosphatases, 4, 13–14. https://doi.org/10.3390/kinasesphosphatases1040015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Montenarh, M., &amp; Götz, C. (2023). Protein kinase CK2α′, more than a backup of CK2α. Cells, 12, 42834. https://doi.org/10.3390/cells12242834</w:t>
      </w:r>
    </w:p>
    <w:p>
      <w:pPr>
        <w:pStyle w:val="BodyText"/>
      </w:pPr>
      <w:r>
        <w:t xml:space="preserve">Pirrello, O., Machev, N., Schmidt, F., Terriou, P., Menezo, Y., &amp; Viville, S. (2005). Search for mutations involved in human globozoospermia. Human Reproduction, 20, 1314–1318. https://doi.org/10.1093/humrep/deh799</w:t>
      </w:r>
    </w:p>
    <w:p>
      <w:pPr>
        <w:pStyle w:val="BodyText"/>
      </w:pPr>
      <w:r>
        <w:t xml:space="preserve">Rabalski, A. J., Gyenis, L., &amp; Litchfield, D. W. (2016). Molecular pathways: emergence of protein kinase CK2 (CSNK2) as a potential target to inhibit survival and DNA-damage response and repair pathways in cancer cells. Clinical Cancer Research, 22, 2840–2847. https://doi.org/10.1158/1078-0432.CCR-15-1314</w:t>
      </w:r>
    </w:p>
    <w:p>
      <w:pPr>
        <w:pStyle w:val="BodyText"/>
      </w:pPr>
      <w:r>
        <w:t xml:space="preserve">Roffey, S. E., &amp; Litchfield, D. W. (2021). CK2 regulation: perspectives in 2021. Biomedicines, 9, 1361. https://doi.org/10.3390/biomedicines9101361</w:t>
      </w:r>
    </w:p>
    <w:p>
      <w:pPr>
        <w:pStyle w:val="BodyText"/>
      </w:pPr>
      <w:r>
        <w:t xml:space="preserve">St-Denis, N. A., &amp; Litchfield, D. W. (2009). Protein kinase CK2 in health and disease. Cellular and Molecular Life Sciences, 66, 1817–1829. https://doi.org/10.1007/s00018-009-9150-2</w:t>
      </w:r>
    </w:p>
    <w:p>
      <w:pPr>
        <w:pStyle w:val="BodyText"/>
      </w:pPr>
      <w:r>
        <w:t xml:space="preserve">Strum, S. W., Gyenis, L., &amp; Litchfield, D. W. (2022). CSNK2 in cancer: pathophysiology and translational applications. British Journal of Cancer, 126, 994–1003. https://doi.org/10.1038/s41416-021-01616-2</w:t>
      </w:r>
    </w:p>
    <w:p>
      <w:pPr>
        <w:pStyle w:val="BodyText"/>
      </w:pPr>
      <w:r>
        <w:t xml:space="preserve">Trembley, J. H., Kren, B. T., Afzal, M., Scaria, G. A., Klein, M. A., &amp; Ahmed, K. (2023). Protein kinase CK2 – diverse roles in cancer cell biology and therapeutic promise. Molecular and Cellular Biochemistry, 478, 899–926. https://doi.org/10.1007/s11010-022-04558-2</w:t>
      </w:r>
    </w:p>
    <w:p>
      <w:pPr>
        <w:pStyle w:val="BodyText"/>
      </w:pPr>
      <w:r>
        <w:t xml:space="preserve">Unni, P., Friend, J., Weinberg, J., Okur, V., Hochscherf, J., &amp; Dominguez, I. (2022). Predictive functional, statistical and structural analysis of CSNK2A1 and CSNK2B variants linked to neurodevelopmental diseases. Frontiers in Molecular Biosciences, 9, 851547. https://doi.org/10.3389/fmolb.2022.851547</w:t>
      </w:r>
    </w:p>
    <w:p>
      <w:pPr>
        <w:pStyle w:val="BodyText"/>
      </w:pPr>
      <w:r>
        <w:t xml:space="preserve">Unknown authors. (2016). Protein kinase CK2 phosphorylates the neuronal chaperone HSJ1: a paradigmatic example of ubiquitin signaling regulation.</w:t>
      </w:r>
    </w:p>
    <w:p>
      <w:pPr>
        <w:pStyle w:val="BodyText"/>
      </w:pPr>
      <w:r>
        <w:t xml:space="preserve">Unknown authors. (2020). Deciphering the CK2-dependent phosphoproteome and its integration with regulatory PTM networks.</w:t>
      </w:r>
    </w:p>
    <w:p>
      <w:pPr>
        <w:pStyle w:val="BodyText"/>
      </w:pPr>
      <w:r>
        <w:t xml:space="preserve">Unknown authors. (2022). Structural exploration of different binding pockets suitable to affect protein kinases CK2α and CK2α′ with peptides and small molecules.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2025-07-03T19:41:20Z</dcterms:created>
  <dcterms:modified xsi:type="dcterms:W3CDTF">2025-07-03T19:41:20Z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