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Fibroblast Growth Factor Receptor 4 (FGFR4) belongs to the Tyrosine Kinase (TK) group and, within that group, to the fibroblast growth factor receptor (FGFR) family of receptor tyrosine kinases (Manning et al., 2002; Farrell &amp; Breeze, 2018; Roskoski, 2020). FGFR4 is conserved throughout vertebrates and is one of four paralogous FGFR proteins, displaying the lowest sequence homology among them (Farrell &amp; Breeze, 2018; Lang &amp; Teng, 2019; Levine et al.,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[a protein]-L-tyrosine ⇌ ADP + [a protein]-L-tyrosine phosphate (Hagel et al., 2015).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catalysis (Dai et al., 2019).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An intrinsic substrate-profiling study defined the preferred motif from P-3 to P + 3 as:</w:t>
      </w:r>
      <w:r>
        <w:br/>
      </w:r>
      <w:r>
        <w:t xml:space="preserve">P-3 (F ≫ other hydrophobics) – P-2/P-1 (E/D) – P0 (Y) – P + 1 (G) – P + 2 (A) – P + 3 (S/T) (Yaron-Barir et al., 2024). Thus, FGFR4 favors a phenylalanine three residues N-terminal to the target Tyr, acidic residues at P-2 and P-1, a small glycine or alanine immediately C-terminal, and a polar Ser/Thr at P + 3.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FGFR4 (UniProt P22455, 802 aa, 95–110 kDa) displays the canonical receptor tyrosine kinase topology:</w:t>
      </w:r>
      <w:r>
        <w:br/>
      </w:r>
      <w:r>
        <w:t xml:space="preserve">• Extracellular region (aa 1–369) containing a signal peptide, an acid box, and three Ig-like domains (D1–D3). D2/D3 form the high-affinity ligand-binding pocket, whereas D1 plus the acid box exert autoinhibition (Lang &amp; Teng, 2019; Farrell &amp; Breeze, 2018). Unlike FGFR1-3, FGFR4 expresses only the IIIc Ig-like isoform (Levine et al., 2020).</w:t>
      </w:r>
      <w:r>
        <w:br/>
      </w:r>
      <w:r>
        <w:t xml:space="preserve">• Single-pass transmembrane helix (aa 370–390).</w:t>
      </w:r>
      <w:r>
        <w:br/>
      </w:r>
      <w:r>
        <w:t xml:space="preserve">• Intracellular bilobed kinase domain (aa 454–767) with a flexible αC-helix in the N-lobe and a C-lobe containing the activation loop with the conserved DFG motif (Dai et al., 2019). Assembly of regulatory and catalytic spines and re-orientation of the αC-helix switch the enzyme from an inactive “DFG-out” to an active “DFG-in” conformation (Roskoski, 2020).</w:t>
      </w:r>
      <w:r>
        <w:br/>
      </w:r>
      <w:r>
        <w:t xml:space="preserve">• A unique cysteine (Cys552) in the hinge region confers a covalent inhibitor binding site (Levine et al., 2020; Marseglia et al.,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Autoinhibition: the extracellular D1/acid-box module and an intracellular “molecular brake” (E562–K638) keep the receptor inactive (Farrell &amp; Breeze, 2018; Roskoski, 2020).</w:t>
      </w:r>
      <w:r>
        <w:br/>
      </w:r>
      <w:r>
        <w:t xml:space="preserve">• Activation: ligand binding (e.g., FGF19 ± β-klotho) drives receptor dimerisation, αC-helix rotation and activation-loop phosphorylation (Dai et al., 2019).</w:t>
      </w:r>
      <w:r>
        <w:br/>
      </w:r>
      <w:r>
        <w:t xml:space="preserve">• Post-translational control: trans-autophosphorylation of Y642/Y643 in the activation loop is required for full activity; additional sites include Y754, Y764 and S573 (Dai et al., 2019; Wu et al., 2016; Levine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FGFR4 regulates embryogenesis, tissue repair and adult metabolic processes such as bile-acid synthesis and glucose homeostasis. It is highly expressed in liver and present in muscle and lung (Farrell &amp; Breeze, 2018; Lang &amp; Teng, 2019; Lu et al., 2018).</w:t>
      </w:r>
      <w:r>
        <w:br/>
      </w:r>
      <w:r>
        <w:t xml:space="preserve">• Ligands/co-receptors: endocrine FGF19 (β-klotho-dependent) and canonical FGFs (FGF1/2/4/8) with heparan sulfate proteoglycans (Lang &amp; Teng, 2019; Dai et al., 2019).</w:t>
      </w:r>
      <w:r>
        <w:br/>
      </w:r>
      <w:r>
        <w:t xml:space="preserve">• Downstream signalling: phosphorylated FGFR4 recruits FRS2 and PLCG1, initiating Ras–MAPK and PI3K–Akt cascades and a PLCγ/PKC branch; additional outputs include Src and GSK3β/β-catenin pathways (Lang &amp; Teng, 2019; Lu et al., 2018).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Covalent, Cys552-targeted inhibitors: BLU-554 (fisogatinib), H3B-6527, FGF401 (roblitinib), INCB062079 (Hagel et al., 2015; Lu et al., 2018; Levine et al., 2020).</w:t>
      </w:r>
      <w:r>
        <w:br/>
      </w:r>
      <w:r>
        <w:t xml:space="preserve">• Reversible ATP-competitive inhibitors (often pan-FGFR): LY2874455, erdafitinib, dovitinib, ponatinib (Dai et al., 2019; Wu et al., 2016; Lesca et al., 2014).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Genetic or ligand-driven hyperactivation of the FGF19–FGFR4 axis contributes to hepatocellular carcinoma and other solid tumours (Dai et al., 2019; Hagel et al., 2015). Clinically relevant activating mutations include V550L/E (gatekeeper), G388R (germline SNP) and Y367C, which can promote oncogenesis and influence inhibitor sensitivity (Lu et al., 2018; Tang et al., 2018; Schwarz et al., 2024).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Dai, S., Zhou, Z., Chen, Z., Xu, G., &amp; Chen, Y. (2019). Fibroblast growth factor receptors (FGFRs): structures and small molecule inhibitors. Cells, 8(6), 614. https://doi.org/10.3390/cells8060614</w:t>
      </w:r>
    </w:p>
    <w:p>
      <w:pPr>
        <w:pStyle w:val="BodyText"/>
      </w:pPr>
      <w:r>
        <w:t xml:space="preserve">Farrell, B., &amp; Breeze, A. L. (2018). Structure, activation and dysregulation of fibroblast growth factor receptor kinases: perspectives for clinical targeting. Biochemical Society Transactions, 46(6), 1753–1770. https://doi.org/10.1042/BST20180004</w:t>
      </w:r>
    </w:p>
    <w:p>
      <w:pPr>
        <w:pStyle w:val="BodyText"/>
      </w:pPr>
      <w:r>
        <w:t xml:space="preserve">Hagel, M., Miduturu, C. V., Sheets, M., Rubin, N. T., Weng, W., Stransky, N., … Guzi, T. (2015). First selective small-molecule inhibitor of FGFR4 for the treatment of hepatocellular carcinomas with an activated FGFR4 signaling pathway. Cancer Discovery, 5(4), 424–437. https://doi.org/10.1158/2159-8290.CD-14-1029</w:t>
      </w:r>
    </w:p>
    <w:p>
      <w:pPr>
        <w:pStyle w:val="BodyText"/>
      </w:pPr>
      <w:r>
        <w:t xml:space="preserve">Lang, L., &amp; Teng, Y. (2019). Fibroblast growth factor receptor 4 targeting in cancer: new insights into mechanisms and therapeutic strategies. Cells, 8(1), 31. https://doi.org/10.3390/cells8010031</w:t>
      </w:r>
    </w:p>
    <w:p>
      <w:pPr>
        <w:pStyle w:val="BodyText"/>
      </w:pPr>
      <w:r>
        <w:t xml:space="preserve">Levine, K., Ding, K., Chen, L., &amp; Oesterreich, S. (2020). FGFR4: a promising therapeutic target for breast cancer and other solid tumors. Pharmacology &amp; Therapeutics, 107590. https://doi.org/10.1016/j.pharmthera.2020.107590</w:t>
      </w:r>
    </w:p>
    <w:p>
      <w:pPr>
        <w:pStyle w:val="BodyText"/>
      </w:pPr>
      <w:r>
        <w:t xml:space="preserve">Lu, X., Chen, H., Patterson, A. V., Smaill, J. B., &amp; Ding, K. (2018). Fibroblast growth factor receptor 4 (FGFR4) selective inhibitors as hepatocellular carcinoma therapy: advances and prospects. Journal of Medicinal Chemistry, 62(8), 2905–2915. https://doi.org/10.1021/acs.jmedchem.8b01531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Marseglia, G., Lodola, A., Mor, M., &amp; Castelli, R. (2019). Fibroblast growth factor receptor inhibitors: patent review (2015–2019). Expert Opinion on Therapeutic Patents, 29(12), 965–977. https://doi.org/10.1080/13543776.2019.1688300</w:t>
      </w:r>
    </w:p>
    <w:p>
      <w:pPr>
        <w:pStyle w:val="BodyText"/>
      </w:pPr>
      <w:r>
        <w:t xml:space="preserve">Raja, A., Park, I., Haq, F., &amp; Ahn, S.-M. (2019). FGF19–FGFR4 signaling in hepatocellular carcinoma. Cells, 8(6), 536. https://doi.org/10.3390/cells8060536</w:t>
      </w:r>
    </w:p>
    <w:p>
      <w:pPr>
        <w:pStyle w:val="BodyText"/>
      </w:pPr>
      <w:r>
        <w:t xml:space="preserve">Roskoski, R. (2020). The role of fibroblast growth factor receptor (FGFR) protein-tyrosine kinase inhibitors in the treatment of cancers including those of the urinary bladder. Pharmacological Research, 151, 104567. https://doi.org/10.1016/j.phrs.2019.104567</w:t>
      </w:r>
    </w:p>
    <w:p>
      <w:pPr>
        <w:pStyle w:val="BodyText"/>
      </w:pPr>
      <w:r>
        <w:t xml:space="preserve">Schwarz, M., Kurkunov, M., Wittlinger, F., Rudalska, R., Wang, G., Schwalm, M., … Gehringer, M. (2024). Development of highly potent and selective covalent FGFR4 inhibitors based on SNAr electrophiles. Journal of Medicinal Chemistry. https://doi.org/10.1021/acs.jmedchem.3c02483</w:t>
      </w:r>
    </w:p>
    <w:p>
      <w:pPr>
        <w:pStyle w:val="BodyText"/>
      </w:pPr>
      <w:r>
        <w:t xml:space="preserve">Tang, S., Hao, Y., Yuan, Y., Liu, R., &amp; Chen, Q. (2018). Role of fibroblast growth factor receptor 4 in cancer. Cancer Science, 109(10), 3024–3031. https://doi.org/10.1111/cas.13759</w:t>
      </w:r>
    </w:p>
    <w:p>
      <w:pPr>
        <w:pStyle w:val="BodyText"/>
      </w:pPr>
      <w:r>
        <w:t xml:space="preserve">Wu, D., Guo, M., Philips, M. A., Qu, L., Jiang, L., Li, J., … Chen, Y. (2016). Crystal structure of the FGFR4/LY2874455 complex reveals insights into the pan-FGFR selectivity of LY2874455. PLOS ONE, 11(9), e0162491. https://doi.org/10.1371/journal.pone.0162491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629(8012), 1174–1181. https://doi.org/10.1038/s41586-024-07407-y</w:t>
      </w:r>
    </w:p>
    <w:p>
      <w:pPr>
        <w:pStyle w:val="BodyText"/>
      </w:pPr>
      <w:r>
        <w:t xml:space="preserve">Lesca, E., Lammens, A., Huber, R., &amp; Augustin, M. (2014). Structural analysis of the human fibroblast growth factor receptor 4 kinase. Journal of Molecular Biology, 426(22), 3744–3756. https://doi.org/10.1016/j.jmb.2014.09.004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2025-07-03T19:20:57Z</dcterms:created>
  <dcterms:modified xsi:type="dcterms:W3CDTF">2025-07-03T19:20:57Z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