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2.7.11.– (protein-serine/threonine kinase; specific EC number not given in the cited sources)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G-protein-coupled receptor kinase 2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ADRBK1; β-adrenergic-receptor kinase 1 (βARK1); GRK2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GRK2 belongs to the AGC group of protein kinases and, within it, to the G-protein-coupled receptor kinase (GRK) family. The family is divided into three subfamilies: visual GRKs (GRK1, GRK7), β-adrenergic-receptor kinases (βARK; GRK2, GRK3), and GRK4-like kinases (GRK4, GRK5, GRK6) (Ribas et al., 2007; Sato et al., 2015). Orthologs are conserved across metazoans, with homologues reported in Drosophila and C. elegans (Cannavo et al., 2018; Ferrero &amp; Koch, 2022).</w:t>
      </w:r>
    </w:p>
    <w:bookmarkEnd w:id="12"/>
    <w:bookmarkStart w:id="13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O-phospho-L-seryl/threonyl-[protein] (Chaudhary &amp; Kim, 2021; Evron et al., 2012; Rengo et al., 2011).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catalytic activity (Cannavo et al., 2018; Chaudhary &amp; Kim, 2021; Evron et al., 2012; Ribas et al., 2007).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positional preference spanning P-5 to P+4 surrounds the phosphorylated Ser/Thr (P0): hydrophobic residues at P-5; Arg/Lys at P-3 and strongly at P-1; small residues at P-2 and P+1; weak polar/small preferences at P+2–P+4 (Ferrero &amp; Koch, 2022). Pre-existing phospho-Thr/Tyr in the motif can act as priming sites (Johnson et al., 2023).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Crystal structures of human GRK2 are available (e.g., PDB 3C4W, 3NYN, 3RK3, 2BCJ) (Cannavo et al., 2018; Ferrero &amp; Koch, 2022; Murga et al., 2019). The protein adopts a triangular arrangement of three domains with the N-terminus contacting the others:</w:t>
      </w:r>
      <w:r>
        <w:br/>
      </w:r>
      <w:r>
        <w:t xml:space="preserve">• RH (Regulator of G-protein Signalling homology) domain – binds Gα subunits and scaffolds the kinase domain (Penela et al., 2019; Evron et al., 2012).</w:t>
      </w:r>
      <w:r>
        <w:br/>
      </w:r>
      <w:r>
        <w:t xml:space="preserve">• Kinase domain – canonical bilobal AGC fold containing the ATP pocket and hydrophobic spine; activation loop phosphorylation is not required for activity (Evron et al., 2012; Penela et al., 2019; Cannavo et al., 2018).</w:t>
      </w:r>
      <w:r>
        <w:br/>
      </w:r>
      <w:r>
        <w:t xml:space="preserve">• PH (Pleckstrin-homology) domain – interacts with membrane phospholipids and Gβγ, directing membrane localization (Cannavo et al., 2018; Murga et al., 2019).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Allosteric: Gβγ binding to the PH domain recruits GRK2 to the plasma membrane and stimulates activity (Cannavo et al., 2018; Ferrero &amp; Koch, 2022).</w:t>
      </w:r>
      <w:r>
        <w:br/>
      </w:r>
      <w:r>
        <w:t xml:space="preserve">• Post-translational modifications:</w:t>
      </w:r>
      <w:r>
        <w:br/>
      </w:r>
      <w:r>
        <w:t xml:space="preserve"> – ERK phosphorylation at Ser670 favours Hsp90 binding and mitochondrial targeting while reducing membrane association (Ferrero &amp; Koch, 2022; Ribas et al., 2007).</w:t>
      </w:r>
      <w:r>
        <w:br/>
      </w:r>
      <w:r>
        <w:t xml:space="preserve"> – PKA/PKC phosphorylation at Ser685 augments catalytic activity and receptor interaction (Ferrero &amp; Koch, 2022; Ribas et al., 2007).</w:t>
      </w:r>
      <w:r>
        <w:br/>
      </w:r>
      <w:r>
        <w:t xml:space="preserve"> – Additional phosphorylation by c-Src and CDK2, plus S-nitrosylation at Cys340, modulate function (Kang et al., 2020).</w:t>
      </w:r>
      <w:r>
        <w:br/>
      </w:r>
      <w:r>
        <w:t xml:space="preserve">• Subcellular localization changes accompany these modifications and binding events (Cannavo et al., 2018; Penela et al., 2019).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GRK2 is ubiquitously expressed, with particularly high levels in heart muscle, vascular and endothelial cells, immune cells and brain (Cannavo et al., 2018; Chaudhary &amp; Kim, 2021; Evron et al., 2012).</w:t>
      </w:r>
      <w:r>
        <w:br/>
      </w:r>
      <w:r>
        <w:t xml:space="preserve">• Canonical role: phosphorylates agonist-occupied GPCRs (e.g., β-adrenergic receptors, LPAR1, S1PR1), initiating β-arrestin recruitment, receptor desensitization and internalization (Penela et al., 2019; Rengo et al., 2011; Cannavo et al., 2018).</w:t>
      </w:r>
      <w:r>
        <w:br/>
      </w:r>
      <w:r>
        <w:t xml:space="preserve">• Non-GPCR substrates: cytoskeletal proteins (tubulin, ezrin, radixin), transcription factors (Smad2/3) and signalling adaptors (IRS1) (Evron et al., 2012).</w:t>
      </w:r>
      <w:r>
        <w:br/>
      </w:r>
      <w:r>
        <w:t xml:space="preserve">• Interactors: scaffolds GIT1/2, kinases PI3K and Akt, among others (Evron et al., 2012; Ferrero &amp; Koch, 2022).</w:t>
      </w:r>
      <w:r>
        <w:br/>
      </w:r>
      <w:r>
        <w:t xml:space="preserve">Through these activities GRK2 influences cardiac contractility, endothelial NO production, cell migration, cytoskeletal dynamics and metabolic control (Evron et al., 2012; Ferrero &amp; Koch, 2022).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Small molecules: paroxetine and derivatives (selective), gallein and M119 (disrupt Gβγ interaction) (Cannavo et al., 2018; Ferrero &amp; Koch, 2022; Han et al., 2018).</w:t>
      </w:r>
      <w:r>
        <w:br/>
      </w:r>
      <w:r>
        <w:t xml:space="preserve">• Peptide: βARKct, a C-terminal GRK2 fragment that sequesters Gβγ (Rengo et al., 2011; Han et al., 2018).</w:t>
      </w:r>
      <w:r>
        <w:br/>
      </w:r>
      <w:r>
        <w:t xml:space="preserve">• RNA aptamer: C13 stabilizes an inactive conformation (Han et al., 2018).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Elevated GRK2 levels and activity contribute to heart failure, hypertension, cardiac hypertrophy, obesity and inflammatory diseases (Cannavo et al., 2018; Murga et al., 2019). Myocardial or lymphocyte GRK2 levels correlate with heart-failure severity and mortality (Cannavo et al., 2018). Global knockout in mice is embryonic-lethal owing to cardiac malformations, whereas experimental inhibition or partial deletion mitigates pathological cardiac remodeling (Cannavo et al., 2018; Guccione et al., 2016).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Cannavo, A., Komici, K., Bencivenga, L., D’amico, M. L., Gambino, G., Liccardo, D., Ferrara, N., &amp; Rengo, G. (2018). GRK2 as a therapeutic target for heart failure. Expert Opinion on Therapeutic Targets, 22, 75–83. https://doi.org/10.1080/14728222.2018.1406925</w:t>
      </w:r>
    </w:p>
    <w:p>
      <w:pPr>
        <w:pStyle w:val="BodyText"/>
      </w:pPr>
      <w:r>
        <w:t xml:space="preserve">Chaudhary, P., &amp; Kim, S. (2021). The GRKs reactome: Role in cell biology and pathology. International Journal of Molecular Sciences. https://doi.org/10.3390/ijms22073375</w:t>
      </w:r>
    </w:p>
    <w:p>
      <w:pPr>
        <w:pStyle w:val="BodyText"/>
      </w:pPr>
      <w:r>
        <w:t xml:space="preserve">Evron, T., Daigle, T., &amp; Caron, M. (2012). GRK2: Multiple roles beyond G protein-coupled receptor desensitization. Trends in Pharmacological Sciences, 33(3), 154–164. https://doi.org/10.1016/j.tips.2011.12.003</w:t>
      </w:r>
    </w:p>
    <w:p>
      <w:pPr>
        <w:pStyle w:val="BodyText"/>
      </w:pPr>
      <w:r>
        <w:t xml:space="preserve">Ferrero, K. M., &amp; Koch, W. J. (2022). GRK2 in cardiovascular disease and its potential as a therapeutic target. Journal of Molecular and Cellular Cardiology, 172, 14–23. https://doi.org/10.1016/j.yjmcc.2022.07.008</w:t>
      </w:r>
    </w:p>
    <w:p>
      <w:pPr>
        <w:pStyle w:val="BodyText"/>
      </w:pPr>
      <w:r>
        <w:t xml:space="preserve">Guccione, M., Ettari, R., Taliani, S., Da Settimo, F., Zappalà, M., &amp; Grasso, S. (2016). G-protein-coupled receptor kinase 2 (GRK2) inhibitors: Current trends and future perspectives. Journal of Medicinal Chemistry, 59(20), 9277–9294. https://doi.org/10.1021/acs.jmedchem.5b01939</w:t>
      </w:r>
    </w:p>
    <w:p>
      <w:pPr>
        <w:pStyle w:val="BodyText"/>
      </w:pPr>
      <w:r>
        <w:t xml:space="preserve">Han, C.-c., Li, Y., Wang, Y., Cui, D., Luo, T., Zhang, Y., Ma, Y., &amp; Wei, W. (2018). Development of inflammatory immune response-related drugs based on G protein-coupled receptor kinase 2. Cellular Physiology and Biochemistry, 51, 729–745. https://doi.org/10.1159/000495329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Kang, J.-H., Toita, R., Kawano, T., Murata, M., &amp; Asai, D. (2020). Design of substrates and inhibitors of G-protein-coupled receptor kinase 2 (GRK2) based on its phosphorylation reaction. Amino Acids, 52, 863–870. https://doi.org/10.1007/s00726-020-02864-x</w:t>
      </w:r>
    </w:p>
    <w:p>
      <w:pPr>
        <w:pStyle w:val="BodyText"/>
      </w:pPr>
      <w:r>
        <w:t xml:space="preserve">Murga, C., Arcones, A. C., Cruces-Sande, M., Briones, A. M., Salaices, M., &amp; Mayor, F. Jr. (2019). G protein-coupled receptor kinase 2 (GRK2) as a potential therapeutic target in cardiovascular and metabolic diseases. Frontiers in Pharmacology. https://doi.org/10.3389/fphar.2019.00112</w:t>
      </w:r>
    </w:p>
    <w:p>
      <w:pPr>
        <w:pStyle w:val="BodyText"/>
      </w:pPr>
      <w:r>
        <w:t xml:space="preserve">Penela, P., Ribas, C., Sánchez-Madrid, F., &amp; Mayor, F. (2019). G protein-coupled receptor kinase 2 (GRK2) as a multifunctional signaling hub. Cellular and Molecular Life Sciences, 76, 4423–4446. https://doi.org/10.1007/s00018-019-03274-3</w:t>
      </w:r>
    </w:p>
    <w:p>
      <w:pPr>
        <w:pStyle w:val="BodyText"/>
      </w:pPr>
      <w:r>
        <w:t xml:space="preserve">Rengo, G., Lymperopoulos, A., Leosco, D., &amp; Koch, W. (2011). GRK2 as a novel gene-therapy target in heart failure. Journal of Molecular and Cellular Cardiology, 50(5), 785–792. https://doi.org/10.1016/j.yjmcc.2010.08.014</w:t>
      </w:r>
    </w:p>
    <w:p>
      <w:pPr>
        <w:pStyle w:val="BodyText"/>
      </w:pPr>
      <w:r>
        <w:t xml:space="preserve">Ribas, C., Penela, P., Murga, C., Salcedo, A., García-Hoz, C., Jurado-Pueyo, M., Aymerich, I., &amp; Mayor, F. (2007). The G protein-coupled receptor kinase (GRK) interactome: Role of GRKs in GPCR regulation and signaling. Biochimica et Biophysica Acta, 1768(4), 913–922. https://doi.org/10.1016/j.bbamem.2006.09.019</w:t>
      </w:r>
    </w:p>
    <w:p>
      <w:pPr>
        <w:pStyle w:val="BodyText"/>
      </w:pPr>
      <w:r>
        <w:t xml:space="preserve">Sato, P. Y., Chuprun, J. K., Schwartz, M., &amp; Koch, W. J. (2015). The evolving impact of G protein-coupled receptor kinases in cardiac health and disease. Physiological Reviews, 95, 377–404. https://doi.org/10.1152/physrev.00015.2014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2025-07-03T20:42:32Z</dcterms:created>
  <dcterms:modified xsi:type="dcterms:W3CDTF">2025-07-03T20:42:32Z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