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EphB2 belongs to the tyrosine kinase (TK) group, receptor tyrosine kinase (RTK) family, Eph receptor sub-family, EphB subclass (Overman et al., 2013, pp. 1–2; Berrou et al., 2018, pp. 1–5).</w:t>
      </w:r>
      <w:r>
        <w:br/>
      </w:r>
      <w:r>
        <w:t xml:space="preserve">Within the EphB branch the catalytic domains are highly conserved (~88 % identity); EphB2 shares 83 % identity with EphB4, indicating recent divergence (Overman et al., 2013, pp. 11–14).</w:t>
      </w:r>
      <w:r>
        <w:br/>
      </w:r>
      <w:r>
        <w:t xml:space="preserve">Orthologous kinase domains are retained across vertebrates, reflecting strong evolutionary constraint (Berrou et al., 2018, pp. 5–9).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protein-L-tyrosine ⇌ ADP + protein-L-tyrosine-phosphate (Unknown authors, 2014, pp. 5–9; Berrou et al., 2018, pp. 5–9).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Catalytic activity requires divalent cations; assays are performed with Mg²⁺ and ATP (Unknown authors, 2023, pp. 94–100).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A defined linear phosphorylation motif has not been established; substrate preferences remain undetermined (Overman et al., 2013, pp. 9–10).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Domain order: ligand-binding domain → cysteine-rich region → two fibronectin type III domains → single transmembrane helix → juxtamembrane segment (JMS) → kinase domain (KD) → sterile-alpha motif → C-terminal PDZ-binding motif (Unknown authors, 2014, pp. 5–9).</w:t>
      </w:r>
      <w:r>
        <w:br/>
      </w:r>
      <w:r>
        <w:t xml:space="preserve">Autoinhibition: the JMS contacts αC and β4 of the KD, disorganising the activation segment; ephrin-induced receptor clustering relieves this brake (Unknown authors, 2014, pp. 5–9).</w:t>
      </w:r>
      <w:r>
        <w:br/>
      </w:r>
      <w:r>
        <w:t xml:space="preserve">Catalytic core: Lys721 (β3) pairs with Glu739 (αC) for ATP positioning; Asp746 functions as catalytic base; Arg745 supports nucleotide binding—mutation R745C disrupts this triad (Berrou et al., 2018, pp. 5–9).</w:t>
      </w:r>
      <w:r>
        <w:br/>
      </w:r>
      <w:r>
        <w:t xml:space="preserve">Regulatory tyrosines: Y594/Y604 (alternative numbering Y605/Y611) in the JMS are the primary activation switch; their phosphorylation both orders the activation loop and generates SH2 docking sites (Berrou et al., 2018, pp. 16–20; Zisch et al., 2000, pp. 1–2).</w:t>
      </w:r>
      <w:r>
        <w:br/>
      </w:r>
      <w:r>
        <w:t xml:space="preserve">Structural data: KD crystal structure solved with ADP (PDB 2HEN) confirms a canonical bilobal fold (Unknown authors, 2023, pp. 94–100).</w:t>
      </w:r>
      <w:r>
        <w:br/>
      </w:r>
      <w:r>
        <w:t xml:space="preserve">Selectivity feature: Ser706 in the hinge (EphB4 numbering) is unique within EphB kinases and can be exploited for isozyme-selective inhibition (Overman et al., 2014, pp. 7–9).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Ligand-driven clustering triggers trans-autophosphorylation of Y594/Y604, releasing JMS autoinhibition and activating the kinase (Unknown authors, 2014, pp. 5–9; Berrou et al., 2018, pp. 16–20).</w:t>
      </w:r>
      <w:r>
        <w:br/>
      </w:r>
      <w:r>
        <w:t xml:space="preserve">• Phosphorylated Y594/Y604 recruit SH2-domain proteins (Src, Fyn, RasGAP, Nck, Crk) to propagate signalling (Zisch et al., 2000, pp. 6–8).</w:t>
      </w:r>
      <w:r>
        <w:br/>
      </w:r>
      <w:r>
        <w:t xml:space="preserve">• Y605/Y611→Phe abolishes kinase activity; Glu substitution preserves catalysis but blocks SH2 binding, uncoupling activation from adaptor recruitment (Zisch et al., 2000, pp. 1–2).</w:t>
      </w:r>
      <w:r>
        <w:br/>
      </w:r>
      <w:r>
        <w:t xml:space="preserve">• Missense variant p.R745C in the KD eliminates autophosphorylation, reduces Src activation and impairs downstream signalling in platelets (Berrou et al., 2018, pp. 16–20).</w:t>
      </w:r>
      <w:r>
        <w:br/>
      </w:r>
      <w:r>
        <w:t xml:space="preserve">• Recombinant kinase expression requires co-expression of a phosphatase to keep the KD unphosphorylated (Overman et al., 2013, pp. 7–8).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Platelets: EphB2 enhances GPVI and G-protein-coupled receptor pathways, promoting αIIbβ3 activation, dense-granule secretion, aggregation and thrombus stability (Berrou et al., 2018, pp. 1–5).</w:t>
      </w:r>
      <w:r>
        <w:br/>
      </w:r>
      <w:r>
        <w:t xml:space="preserve">Neural development: controls commissural axon guidance, inner-ear efferent targeting, retinal ganglion routing, dendritic spine maturation and excitatory synapse formation (Lisabeth et al., 2013, pp. 1–2).</w:t>
      </w:r>
      <w:r>
        <w:br/>
      </w:r>
      <w:r>
        <w:t xml:space="preserve">Additional roles: vascular development, tissue boundary formation, bone homeostasis and pancreatic β-cell communication (Berrou et al., 2018, pp. 16–20).</w:t>
      </w:r>
      <w:r>
        <w:br/>
      </w:r>
      <w:r>
        <w:t xml:space="preserve">Expression: high in platelets and broadly present in neural and developmental tissues (Berrou et al., 2018, pp. 1–5; Lisabeth et al., 2013, pp. 1–2).</w:t>
      </w:r>
      <w:r>
        <w:br/>
      </w:r>
      <w:r>
        <w:t xml:space="preserve">Signalling partners: upstream ephrin-B ligands; downstream effectors include Src family kinases (Src, Lyn), Syk, PLCγ2, PI3K/Akt and cytoskeletal regulators RasGAP and Nck (Berrou et al., 2018, pp. 16–20; Zisch et al., 2000, pp. 6–8).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ATP-competitive agents: CMPD1 is potent against EphB2; potency drops for EphB3 owing to hinge residue variation (Overman et al., 2013, pp. 7–8).</w:t>
      </w:r>
      <w:r>
        <w:br/>
      </w:r>
      <w:r>
        <w:t xml:space="preserve">Broad-spectrum TKIs such as dasatinib and NVP-BHG712 act across the Eph family with limited isoform selectivity (Overman et al., 2013, pp. 9–10).</w:t>
      </w:r>
      <w:r>
        <w:br/>
      </w:r>
      <w:r>
        <w:t xml:space="preserve">Structure–activity work highlights conserved Gly699 (EphB4 numbering) as critical for inhibitor binding, complicating isoform-specific design (Overman et al., 2013, pp. 7–8).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• Homozygous p.R745C causes a recessive platelet function defect and severe bleeding (Berrou et al., 2018, pp. 1–5; pp. 5–9).</w:t>
      </w:r>
      <w:r>
        <w:br/>
      </w:r>
      <w:r>
        <w:t xml:space="preserve">• Loss-of-function mutations and reduced activity are reported in prostate and colorectal cancers, supporting a tumour-suppressor role (Lisabeth et al., 2013, pp. 12–13; Overman et al., 2013, pp. 1–2).</w:t>
      </w:r>
      <w:r>
        <w:br/>
      </w:r>
      <w:r>
        <w:t xml:space="preserve">• Platelets lack compensatory Eph receptors, explaining the isolated haemostatic phenotype in EPHB2-deficient individuals (Berrou et al., 2018, pp. 16–20).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Berrou, E., Soukaseum, C., Favier, R., Adam, F., Elaib, Z., Kauskot, A., … Bryckaert, M. (2018). A mutation of the human EPHB2 gene leads to a major platelet functional defect. Blood, 132(19), 2067–2077. https://doi.org/10.1182/blood-2018-04-845644</w:t>
      </w:r>
    </w:p>
    <w:p>
      <w:pPr>
        <w:pStyle w:val="BodyText"/>
      </w:pPr>
      <w:r>
        <w:t xml:space="preserve">Lisabeth, E. M., Falivelli, G., &amp; Pasquale, E. B. (2013). Eph receptor signaling and ephrins. Cold Spring Harbor Perspectives in Biology, 5, a009159. https://doi.org/10.1101/cshperspect.a009159</w:t>
      </w:r>
    </w:p>
    <w:p>
      <w:pPr>
        <w:pStyle w:val="BodyText"/>
      </w:pPr>
      <w:r>
        <w:t xml:space="preserve">Overman, R., Debreczeni, J., Truman, C., McAlister, M., &amp; Attwood, T. (2013). Biochemical and biophysical characterization of four EphB kinase domains reveals contrasting thermodynamic, kinetic and inhibition profiles. Bioscience Reports. https://doi.org/10.1042/BSR20130028</w:t>
      </w:r>
    </w:p>
    <w:p>
      <w:pPr>
        <w:pStyle w:val="BodyText"/>
      </w:pPr>
      <w:r>
        <w:t xml:space="preserve">Overman, R. C., Debreczeni, J. E., Truman, C. M., McAlister, M. S., &amp; Attwood, T. K. (2014). Completing the structural family portrait of the human EphB tyrosine kinase domains. Protein Science. https://doi.org/10.1002/pro.2445</w:t>
      </w:r>
    </w:p>
    <w:p>
      <w:pPr>
        <w:pStyle w:val="BodyText"/>
      </w:pPr>
      <w:r>
        <w:t xml:space="preserve">Unknown authors. (2014). Studying the oligomerization of the kinase domain of Ephrin type-B receptor 2 using analytical ultracentrifugation and development of a program for analysis of … [Unpublished manuscript].</w:t>
      </w:r>
    </w:p>
    <w:p>
      <w:pPr>
        <w:pStyle w:val="BodyText"/>
      </w:pPr>
      <w:r>
        <w:t xml:space="preserve">Unknown authors. (2023). Design and synthesis of EphB2 kinase inhibitors [Unpublished work].</w:t>
      </w:r>
    </w:p>
    <w:p>
      <w:pPr>
        <w:pStyle w:val="BodyText"/>
      </w:pPr>
      <w:r>
        <w:t xml:space="preserve">Zisch, A., Pazzagli, C., Freeman, A. L., Schneller, M., Hadman, M., Smith, J. W., Ruoslahti, E., &amp; Pasquale, E. (2000). Replacing two conserved tyrosines of the EphB2 receptor with glutamic acid prevents binding of SH2 domains without abrogating kinase activity and biological responses. Oncogene, 19, 177–187. https://doi.org/10.1038/sj.onc.1203304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2025-07-03T23:53:24Z</dcterms:created>
  <dcterms:modified xsi:type="dcterms:W3CDTF">2025-07-03T23:53:24Z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