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WEE1 belongs to the Wee1 family within the “Other” group of the kinome according to Manning et al. (Fu et al., 2018; Hamer et al., 2011; Esposito et al., 2021). Other reports place it in either the tyrosine-kinase-like (TKL) or CMGC groups (Esposito et al., 2021; Geenen &amp; Schellens, 2017; Moiseeva et al., 2019). Although WEE1 phosphorylates tyrosine, its catalytic domain is serine/threonine-kinase-like, implying evolutionary divergence from that lineage (Esposito et al., 2021; Hamer et al., 2011). Orthologs are conserved across eukaryotes, including</w:t>
      </w:r>
      <w:r>
        <w:t xml:space="preserve"> </w:t>
      </w:r>
      <w:r>
        <w:rPr>
          <w:i/>
          <w:iCs/>
        </w:rPr>
        <w:t xml:space="preserve">Schizosaccharomyces pombe</w:t>
      </w:r>
      <w:r>
        <w:t xml:space="preserve"> </w:t>
      </w:r>
      <w:r>
        <w:t xml:space="preserve">(wee1) and</w:t>
      </w:r>
      <w:r>
        <w:t xml:space="preserve"> </w:t>
      </w:r>
      <w:r>
        <w:rPr>
          <w:i/>
          <w:iCs/>
        </w:rPr>
        <w:t xml:space="preserve">Saccharomyces cerevisiae</w:t>
      </w:r>
      <w:r>
        <w:t xml:space="preserve"> </w:t>
      </w:r>
      <w:r>
        <w:t xml:space="preserve">(SWE1) (Fu et al., 2018; Hamer et al., 2011). Human paralogs include PKMYT1 and WEE1B; the related kinase MIK1 is found in fission yeast (Fu et al., 2018; Rorà et al., 2020; Esposito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Cyclin B1–CDK1 → ADP + Cyclin B1–CDK1-[pTyr15] (Esposito et al., 2021; Moiseeva et al., 2019).</w:t>
      </w:r>
      <w:r>
        <w:br/>
      </w:r>
      <w:r>
        <w:t xml:space="preserve">Overall: ATP-dependent transfer of the γ-phosphate to a substrate tyrosine residue (Esposito et al., 2021; Moiseeva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catalysis, coordinating ATP in the active site (Elbæk et al., 2020; Esposito et al., 2021; Moiseeva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Principal targets: CDK1 and CDK2 on Tyr15; some evidence for CDK1 Thr14 (Do et al., 2013; Fu et al., 2018).</w:t>
      </w:r>
      <w:r>
        <w:br/>
      </w:r>
      <w:r>
        <w:t xml:space="preserve">• Additional substrate: histone H2B Tyr37 (Fu et al., 2018; Esposito et al., 2021).</w:t>
      </w:r>
      <w:r>
        <w:br/>
      </w:r>
      <w:r>
        <w:t xml:space="preserve">• Peptide-array profiling groups WEE1 into a “Non-canonical (WEE)” cluster with atypical sequence preferences; a position-specific scoring matrix spanning −5 to +5 around the phosphotyrosine was reported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WEE1 comprises an N-terminal regulatory region (phospho-degrons Ser53, Ser123; nuclear-localization signal; three PEST motifs), a central kinase domain with canonical C-helix and activation loop, and a short C-terminal region containing Ser642 (14-3-3 docking site) (Esposito et al., 2021; Elbæk et al., 2020; Moiseeva et al., 2019). Crystal structures of the kinase domain include PDB IDs 1JXD, 1X8B, 3BI6, 4FX3-5, and 6O6E (Elbæk et al., 2020; Moiseeva et al., 2019; Geenen &amp; Schellens, 2017). High-confidence AlphaFold models supplement experimental data (Elbæk et al., 2020; Esposito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Transcriptional control: repressed by KLF2 and miR-195 (Elbæk et al., 2020).</w:t>
      </w:r>
      <w:r>
        <w:br/>
      </w:r>
      <w:r>
        <w:t xml:space="preserve">Post-translational modifications</w:t>
      </w:r>
      <w:r>
        <w:br/>
      </w:r>
      <w:r>
        <w:t xml:space="preserve">• Phosphorylation:</w:t>
      </w:r>
      <w:r>
        <w:br/>
      </w:r>
      <w:r>
        <w:t xml:space="preserve"> – Ser53/Ser123 by CDK1 and PLK1 triggers degradation (Esposito et al., 2021; Hamer et al., 2011; Rorà et al., 2020).</w:t>
      </w:r>
      <w:r>
        <w:br/>
      </w:r>
      <w:r>
        <w:t xml:space="preserve"> – DNA-damage-induced CHK1 phosphorylation enhances activity (Fu et al., 2018).</w:t>
      </w:r>
      <w:r>
        <w:br/>
      </w:r>
      <w:r>
        <w:t xml:space="preserve"> – AKT phosphorylates Ser642, promoting 14-3-3 binding and cytoplasmic sequestration (Fu et al., 2018).</w:t>
      </w:r>
      <w:r>
        <w:br/>
      </w:r>
      <w:r>
        <w:t xml:space="preserve">• Ubiquitination: SCFβ-TrCP1/2 and SCF-Tome-1 ligases target phosphorylated WEE1 for proteasomal degradation (Elbæk et al., 2020; Rorà et al., 2020; Esposito et al., 2021).</w:t>
      </w:r>
      <w:r>
        <w:br/>
      </w:r>
      <w:r>
        <w:t xml:space="preserve">Protein interactions: HSP90 and MIG6 stabilize WEE1; 14-3-3 binding to pSer642 increases stability and interphase activity (Elbæk et al., 2020; Esposito et al., 2021; Fu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Key nuclear kinase that enforces G2/M and S-phase checkpoints (Esposito et al., 2021; Elbæk et al., 2020).</w:t>
      </w:r>
      <w:r>
        <w:br/>
      </w:r>
      <w:r>
        <w:t xml:space="preserve">Upstream signaling: ATM/ATR activate CHK1, which in turn activates WEE1 (Geenen &amp; Schellens, 2017).</w:t>
      </w:r>
      <w:r>
        <w:br/>
      </w:r>
      <w:r>
        <w:t xml:space="preserve">Downstream targets: CDK1 and CDK2 are inhibited via Tyr15 phosphorylation; CDC25 phosphatases reverse this inhibition (Do et al., 2013; Rorà et al., 2020; Fu et al., 2018).</w:t>
      </w:r>
      <w:r>
        <w:br/>
      </w:r>
      <w:r>
        <w:t xml:space="preserve">Pathway roles:</w:t>
      </w:r>
      <w:r>
        <w:br/>
      </w:r>
      <w:r>
        <w:t xml:space="preserve">• G2 DNA-damage checkpoint—suppresses Cyclin B1–CDK1 to allow repair (Esposito et al., 2021; Hamer et al., 2011).</w:t>
      </w:r>
      <w:r>
        <w:br/>
      </w:r>
      <w:r>
        <w:t xml:space="preserve">• S-phase—modulates CDK2 to stabilize replication forks (Esposito et al., 2021; Rorà et al., 2020).</w:t>
      </w:r>
      <w:r>
        <w:br/>
      </w:r>
      <w:r>
        <w:t xml:space="preserve">• Epigenetic—phosphorylation of histone H2B Tyr37 represses histone gene transcription (Fu et al., 2018; Esposito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Adavosertib (AZD1775/MK-1775): potent, selective ATP-competitive inhibitor; abrogates G2 checkpoint and induces mitotic catastrophe, especially in p53-deficient cancers (Geenen &amp; Schellens, 2017; Hamer et al., 2011).</w:t>
      </w:r>
      <w:r>
        <w:br/>
      </w:r>
      <w:r>
        <w:t xml:space="preserve">• PROTACs: under investigation for targeted WEE1 degradation (Elbæk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WEE1 dysregulation is frequent in glioblastoma, ovarian, colorectal, and breast cancers and generally associates with poor prognosis; some studies also link down-regulation to adverse outcomes (Fu et al., 2018; Geenen &amp; Schellens, 2017; Esposito et al., 2021). p53-mutant tumors rely heavily on the WEE1-mediated G2 checkpoint, creating a therapeutic vulnerability (Elbæk et al., 2020; Geenen &amp; Schellens, 2017). Mouse WEE1 knockout causes embryonic lethality, underscoring its essential role (Esposito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Do, K., Doroshow, J. H., &amp; Kummar, S. (2013). Wee1 kinase as a target for cancer therapy. Cell Cycle, 12, 3348–3353. https://doi.org/10.4161/cc.26062</w:t>
      </w:r>
    </w:p>
    <w:p>
      <w:pPr>
        <w:pStyle w:val="BodyText"/>
      </w:pPr>
      <w:r>
        <w:t xml:space="preserve">Elbæk, C. R., Petrosius, V., &amp; Sørensen, C. (2020). Wee1 kinase limits CDK activities to safeguard DNA replication and mitotic entry. Mutation Research, 819–820, 111694. https://doi.org/10.1016/j.mrfmmm.2020.111694</w:t>
      </w:r>
    </w:p>
    <w:p>
      <w:pPr>
        <w:pStyle w:val="BodyText"/>
      </w:pPr>
      <w:r>
        <w:t xml:space="preserve">Esposito, F., Giuffrida, R., Raciti, G., Puglisi, C., &amp; Forte, S. (2021). Wee1 kinase: A potential target to overcome tumor resistance to therapy. International Journal of Molecular Sciences, 22, 10689. https://doi.org/10.3390/ijms221910689</w:t>
      </w:r>
    </w:p>
    <w:p>
      <w:pPr>
        <w:pStyle w:val="BodyText"/>
      </w:pPr>
      <w:r>
        <w:t xml:space="preserve">Fu, S., Wang, Y., Keyomarsi, K., &amp; Meric-Bernstam, F. (2018). Strategic development of AZD1775, a Wee1 kinase inhibitor, for cancer therapy. Expert Opinion on Investigational Drugs, 27, 741–751. https://doi.org/10.1080/13543784.2018.1511700</w:t>
      </w:r>
    </w:p>
    <w:p>
      <w:pPr>
        <w:pStyle w:val="BodyText"/>
      </w:pPr>
      <w:r>
        <w:t xml:space="preserve">Geenen, J., &amp; Schellens, J. (2017). Molecular pathways: Targeting the protein kinase Wee1 in cancer. Clinical Cancer Research, 23, 4540–4544. https://doi.org/10.1158/1078-0432.CCR-17-0520</w:t>
      </w:r>
    </w:p>
    <w:p>
      <w:pPr>
        <w:pStyle w:val="BodyText"/>
      </w:pPr>
      <w:r>
        <w:t xml:space="preserve">Hamer, P. C. de W., Mir, S. E., Noske, D., van Noorden, C., &amp; Würdinger, T. (2011). Wee1 kinase targeting combined with DNA-damaging cancer therapy catalyzes mitotic catastrophe. Clinical Cancer Research, 17, 4200–4207. https://doi.org/10.1158/1078-0432.CCR-10-2537</w:t>
      </w:r>
    </w:p>
    <w:p>
      <w:pPr>
        <w:pStyle w:val="BodyText"/>
      </w:pPr>
      <w:r>
        <w:t xml:space="preserve">Moiseeva, T. N., Qian, C., Sugitani, N., Osmanbeyoglu, H. U., &amp; Bakkenist, C. J. (2019). Wee1 kinase inhibitor AZD1775 induces CDK1-kinase-dependent origin firing in unperturbed G1- and S-phase cells. Proceedings of the National Academy of Sciences, 116, 23891–23893. https://doi.org/10.1073/pnas.1915108116</w:t>
      </w:r>
    </w:p>
    <w:p>
      <w:pPr>
        <w:pStyle w:val="BodyText"/>
      </w:pPr>
      <w:r>
        <w:t xml:space="preserve">Rorà, A. G. L. di, Cerchione, C., Martinelli, G., &amp; Simonetti, G. (2020). A Wee1 family business: Regulation of mitosis, cancer progression, and therapeutic target. Journal of Hematology &amp; Oncology. https://doi.org/10.1186/s13045-020-00959-2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2025-07-03T20:58:07Z</dcterms:created>
  <dcterms:modified xsi:type="dcterms:W3CDTF">2025-07-03T20:58:07Z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