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AKT1 belongs to the AGC protein-kinase group and forms an AKT sub-family with the closely related isoforms AKT2 and AKT3 (Kumar &amp; Madison, 2005). Orthologous proteins are documented in Mus musculus and Rattus norvegicus, underscoring strong conservation across mammals (Unknown Authors, 2010). Invertebrate counterparts (Drosophila melanogaster Akt1 and Caenorhabditis elegans akt-1) further illustrate retention of PI3K→AKT signalling throughout metazoan evolution (Lawlor &amp; Alessi, 2001). Kinome dendrograms cluster AKT1 within the conserved AGC clade, separate from PKA, PKC and S6K branches but sharing the core catalytic architecture (Hernández Armenta,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phospho-protein-Ser/Thr (Kumar, Kabekkodu, &amp; Pai, 2025).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cation; Mg²⁺ is coordinated by Asp292 of the DFG motif, and Mn²⁺ can substitute in vitro (Kumar, Kabekkodu, &amp; Pai, 2025).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AKT1 preferentially phosphorylates the consensus motif Arg-X-Arg-X-X-Ser/Thr-Φ, where Arg at positions −5/−3 and a bulky hydrophobic residue (Φ) at +1 are critical for efficient turnover (Alessi et al., 1996). Kinome-wide profiling confirms assignment to the canonical RxRxxS/TΦ preference typical of AGC kinases (Hernández Armenta,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pleckstrin-homology (PH) domain (residues 1–≈107), a central kinase domain (149–408) and a C-terminal extension containing the hydrophobic motif (409–480) (Kumar &amp; Madison, 2005).</w:t>
      </w:r>
      <w:r>
        <w:br/>
      </w:r>
      <w:r>
        <w:t xml:space="preserve">• Autoinhibited PH-in conformation masks the activation loop; PIP₃ binding triggers ~23° PH-out rotation that exposes Thr308 (Truebestein et al., 2021).</w:t>
      </w:r>
      <w:r>
        <w:br/>
      </w:r>
      <w:r>
        <w:t xml:space="preserve">• Active AKT1 adopts DFG-in/αC-in geometry with a Lys179–Glu198 salt bridge and assembled catalytic and regulatory spines (Kumar, Kabekkodu, &amp; Pai, 2025).</w:t>
      </w:r>
      <w:r>
        <w:br/>
      </w:r>
      <w:r>
        <w:t xml:space="preserve">• Phospho-Thr308 is stabilised by His194, Arg273 and Lys297, while phospho-Ser473 in the hydrophobic motif interacts with the PH-kinase linker to lock the active state (Kumar, Kabekkodu, &amp; Pai, 2025).</w:t>
      </w:r>
      <w:r>
        <w:br/>
      </w:r>
      <w:r>
        <w:t xml:space="preserve">• Gatekeeper Met227 modulates ATP-binding-site accessibility and inhibitor sensitivity (Kumar, Kabekkodu, &amp; Pai, 2025).</w:t>
      </w:r>
      <w:r>
        <w:br/>
      </w:r>
      <w:r>
        <w:t xml:space="preserve">• Oncogenic E17K in the PH domain disrupts the PH-kinase interface, increases affinity for PIP₃/PIP₂ and favours the active conformation (Truebestein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</w:t>
      </w:r>
      <w:r>
        <w:br/>
      </w:r>
      <w:r>
        <w:t xml:space="preserve">– Thr308 by PDK1 is essential for catalytic competence (Hart &amp; Vogt, 2011).</w:t>
      </w:r>
      <w:r>
        <w:br/>
      </w:r>
      <w:r>
        <w:t xml:space="preserve">– Ser473 by mTORC2 maximises activity (Hart &amp; Vogt, 2011).</w:t>
      </w:r>
      <w:r>
        <w:br/>
      </w:r>
      <w:r>
        <w:t xml:space="preserve">– Thr450 in the turn motif by mTORC2 supports stability (Truebestein et al., 2021).</w:t>
      </w:r>
      <w:r>
        <w:br/>
      </w:r>
      <w:r>
        <w:t xml:space="preserve">– Tyr176 by Src family kinases augments membrane localisation (Chan et al., 2014).</w:t>
      </w:r>
      <w:r>
        <w:br/>
      </w:r>
      <w:r>
        <w:t xml:space="preserve">• Dephosphorylation</w:t>
      </w:r>
      <w:r>
        <w:br/>
      </w:r>
      <w:r>
        <w:t xml:space="preserve">– PP2A removes phosphates from Thr308 and Ser473 (Chan et al., 2014).</w:t>
      </w:r>
      <w:r>
        <w:br/>
      </w:r>
      <w:r>
        <w:t xml:space="preserve">– PHLPP specifically dephosphorylates Ser473 (Unknown Authors, 2010).</w:t>
      </w:r>
      <w:r>
        <w:br/>
      </w:r>
      <w:r>
        <w:t xml:space="preserve">• Ubiquitination – K63-linked chains by NEDD4-1 promote membrane recruitment and activation (Chan et al., 2014).</w:t>
      </w:r>
      <w:r>
        <w:br/>
      </w:r>
      <w:r>
        <w:t xml:space="preserve">• Acetylation – PCAF-mediated acetylation fine-tunes kinase output (Chan et al., 2014).</w:t>
      </w:r>
      <w:r>
        <w:br/>
      </w:r>
      <w:r>
        <w:t xml:space="preserve">• Lipid binding &amp; autoinhibition – PH-domain recognition of PIP₃ relieves PH-in autoinhibition; the unphosphorylated C-tail can dock into the PIF pocket to stabilise an inactive state, an interaction mimicked by allosteric inhibitors (Truebestein et al.,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AKT1 is ubiquitously expressed and indispensable for cell survival, proliferation and metabolic homeostasis (Unknown Authors, 2010). Upstream activation proceeds via receptor tyrosine kinases → PI3K → PIP₃, with subsequent phosphorylation by PDK1 and mTORC2 (Bae et al., 2022). Major downstream substrates include GSK3β, FOXO1/3, TSC2, BAD, PRAS40, MDM2, eNOS and AS160, thereby controlling metabolism, apoptosis, cell-cycle progression and angiogenesis (Lawlor &amp; Alessi, 2001; Iksen, Pothongsrisit, &amp; Pongrakhananon, 2021). Phosphorylation-dependent 14-3-3 binding sequesters certain substrates (e.g., FOXO), and HSP90 stabilises AKT1 itself (Unknown Authors, 2010). Activated AKT1 drives the PI3K-AKT-mTOR axis to promote proliferation, migration, metabolic adaptation and resistance to apoptosis (Davies et al., 2015).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AZD5363 (capivasertib) – ATP-competitive; 0.1 µM reduces colony formation &gt;80 % and achieves 76–89 % tumour growth inhibition in AKT1-E17K breast models (Davies et al., 2015).</w:t>
      </w:r>
      <w:r>
        <w:br/>
      </w:r>
      <w:r>
        <w:t xml:space="preserve">• MK-2206 – allosteric; stabilises PH-in state and yields 56–58 % tumour inhibition with downstream pathway suppression (Davies et al., 2015).</w:t>
      </w:r>
      <w:r>
        <w:br/>
      </w:r>
      <w:r>
        <w:t xml:space="preserve">• Miransertib (ARQ 092) and ARQ 751 – allosteric; biochemical IC₅₀ = 5–16 nM, block Ser473 phosphorylation and membrane translocation of AKT1-E17K (Yu et al., 2015).</w:t>
      </w:r>
      <w:r>
        <w:br/>
      </w:r>
      <w:r>
        <w:t xml:space="preserve">• GSK690693 – ATP-competitive; IC₅₀ ≈ 180 nM and evaluated in solid and haematologic tumours (Iksen, Pothongsrisit, &amp; Pongrakhananon,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E17K hotspot mutation in the PH domain occurs in 1–8 % of breast, colorectal, lung, prostate and bladder cancers and in ~90 % of Proteus syndrome cases, conferring constitutive membrane localisation and pathway hyper-activation (Chen et al., 2020; Boormans et al., 2010; Yu et al., 2015). AKT1-E17K enhances phosphorylation of PRAS40, GSK3β and S6, promotes anchorage-independent growth and renders tumours sensitive to AKT inhibitors (Davies et al., 2015). Additional activating or destabilising mutations cluster at the PH-kinase interface and within the activation loop (Truebestein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Alessi, D. R., Caudwell, F. B., Andjelkovic, M., Hemmings, B. A., &amp; Cohen, P. (1996). Molecular basis for the substrate specificity of protein kinase B; comparison with MAPKAP kinase-1 and p70 S6 kinase. FEBS Letters, 399, 333–338. https://doi.org/10.1016/S0014-5793(96)01370-1</w:t>
      </w:r>
    </w:p>
    <w:p>
      <w:pPr>
        <w:pStyle w:val="BodyText"/>
      </w:pPr>
      <w:r>
        <w:t xml:space="preserve">Bae, H., Viennet, T., Park, E., Chu, N., Salguero, A. L., Eck, M. J., Arthanari, H., &amp; Cole, P. A. (2022). PH domain-mediated autoinhibition and oncogenic activation of AKT. eLife. https://doi.org/10.1101/2022.05.25.493453</w:t>
      </w:r>
    </w:p>
    <w:p>
      <w:pPr>
        <w:pStyle w:val="BodyText"/>
      </w:pPr>
      <w:r>
        <w:t xml:space="preserve">Boormans, J., Korsten, H., van der Made, A. V. D., Leenders, G. V., Verhagen, P., &amp; Trapman, J. (2010). E17K substitution in AKT1 in prostate cancer. British Journal of Cancer, 102, 1491–1494. https://doi.org/10.1038/sj.bjc.6605673</w:t>
      </w:r>
    </w:p>
    <w:p>
      <w:pPr>
        <w:pStyle w:val="BodyText"/>
      </w:pPr>
      <w:r>
        <w:t xml:space="preserve">Chan, C.-H., Jo, U., Kohrman, A., Rezaeian, A. H., Chou, P.-C., Logothetis, C., &amp; Lin, H.-K. (2014). Posttranslational regulation of Akt in human cancer. Cell &amp; Bioscience, 4, 59. https://doi.org/10.1186/2045-3701-4-59</w:t>
      </w:r>
    </w:p>
    <w:p>
      <w:pPr>
        <w:pStyle w:val="BodyText"/>
      </w:pPr>
      <w:r>
        <w:t xml:space="preserve">Chen, Y., Huang, L., Dong, Y., Tao, C., Zhang, R., Shao, H.-W., &amp; Shen, H. (2020). Effect of AKT1 (p. E17K) hotspot mutation on malignant tumorigenesis and prognosis. Frontiers in Cell and Developmental Biology, 8, 573599. https://doi.org/10.3389/fcell.2020.573599</w:t>
      </w:r>
    </w:p>
    <w:p>
      <w:pPr>
        <w:pStyle w:val="BodyText"/>
      </w:pPr>
      <w:r>
        <w:t xml:space="preserve">Davies, B., Guan, N., Logié, A., Crafter, C., Hanson, L., Jacobs, V., … Jenkins, E. L. (2015). Tumors with AKT1E17K mutations are rational targets for single agent or combination therapy with AKT inhibitors. Molecular Cancer Therapeutics, 14, 2441–2451. https://doi.org/10.1158/1535-7163.MCT-15-0230</w:t>
      </w:r>
    </w:p>
    <w:p>
      <w:pPr>
        <w:pStyle w:val="BodyText"/>
      </w:pPr>
      <w:r>
        <w:t xml:space="preserve">Hart, J., &amp; Vogt, P. (2011). Phosphorylation of Akt: A mutational analysis. Oncotarget, 2, 467–476. https://doi.org/10.18632/oncotarget.293</w:t>
      </w:r>
    </w:p>
    <w:p>
      <w:pPr>
        <w:pStyle w:val="BodyText"/>
      </w:pPr>
      <w:r>
        <w:t xml:space="preserve">Hernández Armenta, C. I. (2020). Statistical methods to infer kinase activities and kinase-substrate interactions using phosphoproteomic data. [Doctoral dissertation, University of Cambridge]. https://doi.org/10.17863/cam.51836</w:t>
      </w:r>
    </w:p>
    <w:p>
      <w:pPr>
        <w:pStyle w:val="BodyText"/>
      </w:pPr>
      <w:r>
        <w:t xml:space="preserve">Iksen, S., Pothongsrisit, S., &amp; Pongrakhananon, V. (2021). Targeting the PI3K/AKT/mTOR signaling pathway in lung cancer: An update regarding potential drugs and natural products. Molecules, 26, 4100. https://doi.org/10.3390/molecules26134100</w:t>
      </w:r>
    </w:p>
    <w:p>
      <w:pPr>
        <w:pStyle w:val="BodyText"/>
      </w:pPr>
      <w:r>
        <w:t xml:space="preserve">Kumar, C., &amp; Madison, V. (2005). Akt crystal structure and Akt-specific inhibitors. Oncogene, 24, 7493–7501. https://doi.org/10.1038/sj.onc.1209087</w:t>
      </w:r>
    </w:p>
    <w:p>
      <w:pPr>
        <w:pStyle w:val="BodyText"/>
      </w:pPr>
      <w:r>
        <w:t xml:space="preserve">Kumar, B. H., Kabekkodu, S. P., &amp; Pai, K. S. R. (2025). Structural insights of Akt and its activation mechanism for drug development. Molecular Diversity. https://doi.org/10.1007/s11030-025-11132-7</w:t>
      </w:r>
    </w:p>
    <w:p>
      <w:pPr>
        <w:pStyle w:val="BodyText"/>
      </w:pPr>
      <w:r>
        <w:t xml:space="preserve">Lawlor, M. A., &amp; Alessi, D. R. (2001). PKB/AKT: A key mediator of cell proliferation, survival and insulin responses? Journal of Cell Science, 114, 2903–2910. https://doi.org/10.1242/jcs.114.16.2903</w:t>
      </w:r>
    </w:p>
    <w:p>
      <w:pPr>
        <w:pStyle w:val="BodyText"/>
      </w:pPr>
      <w:r>
        <w:t xml:space="preserve">Truebestein, L., Hornegger, H., Anrather, D., Hartl, M., Fleming, K. D., Stariha, J. T. B., … Leonard, T. A. (2021). Structure of autoinhibited AKT1 reveals mechanism of PIP₃-mediated activation. Proceedings of the National Academy of Sciences, 118, e2101496118. https://doi.org/10.1073/pnas.2101496118</w:t>
      </w:r>
    </w:p>
    <w:p>
      <w:pPr>
        <w:pStyle w:val="BodyText"/>
      </w:pPr>
      <w:r>
        <w:t xml:space="preserve">Unknown Authors. (2010). Physiological regulation of Akt activity and stability. [Reference details not provided].</w:t>
      </w:r>
    </w:p>
    <w:p>
      <w:pPr>
        <w:pStyle w:val="BodyText"/>
      </w:pPr>
      <w:r>
        <w:t xml:space="preserve">Yu, Y., Savage, R. E., Eathiraj, S., Meade, J., Wick, M. J., Hall, T., … Schwartz, B. (2015). Targeting AKT1-E17K and the PI3K/AKT pathway with an allosteric AKT inhibitor, ARQ 092. PLOS ONE, 10, e0140479. https://doi.org/10.1371/journal.pone.0140479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2025-07-03T21:43:18Z</dcterms:created>
  <dcterms:modified xsi:type="dcterms:W3CDTF">2025-07-03T21:43:18Z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