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Bone morphogenetic protein receptor type-1A (BMPR1A, ALK3) is a serine/threonine kinase receptor of the Tyrosine Kinase-Like group within the transforming growth factor-β receptor (TGFβR) family of the human kinome (Manning et al., 2002; Gipson et al., 2020; Sanchez-Duffhues et al., 2020). As a type I BMP receptor, it forms part of the activin receptor-like kinase (ALK) subfamily together with ALK1, ALK2 and ALK6 (Gomez-Puerto et al., 2019; Lin et al., 2016). Orthologs occur in mouse, fly, worm, chordates and other metazoans, underscoring its conserved developmental role (Manning et al., 2002; Gipson et al., 2020).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 ⇌ ADP + [protein]-L-serine-phosphate</w:t>
      </w:r>
      <w:r>
        <w:br/>
      </w:r>
      <w:r>
        <w:t xml:space="preserve">ATP + [protein]-L-threonine ⇌ ADP + [protein]-L-threonine-phosphate (Gomez-Puerto et al., 2019)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(Gipson et al., 2020; Gomez-Puerto et al., 2019; Sanchez-Duffhues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High-throughput peptide-array profiling assigns BMPR1A/ALK3 to motif cluster 3 of serine/threonine kinases, characterised by preference for acidic (Asp/Glu) or pre-phosphorylated residues flanking the Ser/Thr phospho-acceptor (Johnson et al., 2023). A precise consensus motif was not explicitly defined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BMPR1A is a single-pass transmembrane receptor comprising:</w:t>
      </w:r>
      <w:r>
        <w:br/>
      </w:r>
      <w:r>
        <w:t xml:space="preserve">• N-terminal extracellular cysteine-rich ligand-binding domain</w:t>
      </w:r>
      <w:r>
        <w:br/>
      </w:r>
      <w:r>
        <w:t xml:space="preserve">• Single transmembrane helix</w:t>
      </w:r>
      <w:r>
        <w:br/>
      </w:r>
      <w:r>
        <w:t xml:space="preserve">• C-terminal intracellular kinase domain with a canonical bilobal fold (Gipson et al., 2020; Sanchez-Duffhues et al., 2020)</w:t>
      </w:r>
    </w:p>
    <w:p>
      <w:pPr>
        <w:pStyle w:val="BodyText"/>
      </w:pPr>
      <w:r>
        <w:t xml:space="preserve">Key regulatory elements include a ~30-residue juxtamembrane glycine/serine-rich (GS) domain, the L45 loop (SMAD specificity), the αC helix, activation loop and the NANDOR box (Gipson et al., 2020; Sanchez-Duffhues et al., 2020). A crystal structure of the kinase domain is available (PDB 3MDY; Gipson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Ligand binding (e.g., BMP2, BMP4) promotes assembly of a heterotetrameric complex with a type II receptor whose constitutive activity phosphorylates GS-domain Ser/Thr residues, activating BMPR1A (Ehata &amp; Miyazono, 2022; Sanchez-Duffhues et al., 2020).</w:t>
      </w:r>
      <w:r>
        <w:br/>
      </w:r>
      <w:r>
        <w:t xml:space="preserve">• In the absence of ligand, FKBP12 binds a Leu-Pro motif in the GS domain, shielding the phosphorylation sites; phosphorylation triggers FKBP12 dissociation (Gomez-Puerto et al., 2019; Gipson et al., 2020).</w:t>
      </w:r>
      <w:r>
        <w:br/>
      </w:r>
      <w:r>
        <w:t xml:space="preserve">• Negative regulation involves SMURF1/2-mediated ubiquitination and inhibitory SMAD6/7, which recruit SMURFs or block R-SMAD phosphorylation (Ehata &amp; Miyazono, 2022; Lin et al., 2016; Ruan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Widely expressed, including in articular cartilage and subchondral bone (Ruan et al., 2023). Activated by BMP2/4/6/7/9/10; ligand availability is modulated by extracellular antagonists such as noggin, chordin and gremlin-1 (Ehata &amp; Miyazono, 2022). Activated BMPR1A phosphorylates SMAD1/5/8, which partner with SMAD4 to regulate transcription of targets such as ID1 (Gomez-Puerto et al., 2019; Ehata &amp; Miyazono, 2022). BMPR1A also triggers non-SMAD pathways (p38, JNK MAPKs; Rho and Rac GTPases) (Gomez-Puerto et al., 2019). Signalling controls embryonic development, tissue homeostasis, osteogenesis, chondrogenesis, and impacts cell proliferation, differentiation, motility and angiogenesis (Ehata &amp; Miyazono, 2022; Lin et al., 2016).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small-molecule inhibitors include:</w:t>
      </w:r>
      <w:r>
        <w:br/>
      </w:r>
      <w:r>
        <w:t xml:space="preserve">• Dorsomorphin, IC₅₀ ≈ 222 nM</w:t>
      </w:r>
      <w:r>
        <w:br/>
      </w:r>
      <w:r>
        <w:t xml:space="preserve">• LDN-193189, IC₅₀ ≈ 14.3 nM</w:t>
      </w:r>
      <w:r>
        <w:br/>
      </w:r>
      <w:r>
        <w:t xml:space="preserve">• LDN-212854, K02288, Saracatinib</w:t>
      </w:r>
      <w:r>
        <w:br/>
      </w:r>
      <w:r>
        <w:t xml:space="preserve">• LJ000328 (ALK3-biased), IC₅₀ ≈ 5.1 nM</w:t>
      </w:r>
      <w:r>
        <w:br/>
      </w:r>
      <w:r>
        <w:t xml:space="preserve">Experimental ALK3-Fc fusion proteins are also used to modulate signalling (Ehata &amp; Miyazono, 2022; Sanchez-Duffhues et al., 2020; Gomez-Puerto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germline BMPR1A mutations cause Juvenile Polyposis Syndrome (JPS) (~23 % of patients). Variants include nonsense, point mutations and large deletions; R443C is most frequent. Dominant-negative R443H associates with JPS and atrioventricular septal defects, while mutations such as R478H, D429V, P481S and R406L are linked to atrial septal defects (Gomez-Puerto et al., 2019; Sanchez-Duffhues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Ehata, S., &amp; Miyazono, K. (2022). Bone morphogenetic protein signaling in cancer; some topics in the recent 10 years. Frontiers in Cell and Developmental Biology, 10, 883523. https://doi.org/10.3389/fcell.2022.883523</w:t>
      </w:r>
    </w:p>
    <w:p>
      <w:pPr>
        <w:pStyle w:val="BodyText"/>
      </w:pPr>
      <w:r>
        <w:t xml:space="preserve">Gipson, G. R., Goebel, E. J., Hart, K. N., Kappes, E. C., Kattamuri, C., McCoy, J. C., &amp; Thompson, T. B. (2020). Structural perspective of BMP ligands and signaling. Bone, 140, 115549. https://doi.org/10.1016/j.bone.2020.115549</w:t>
      </w:r>
    </w:p>
    <w:p>
      <w:pPr>
        <w:pStyle w:val="BodyText"/>
      </w:pPr>
      <w:r>
        <w:t xml:space="preserve">Gomez-Puerto, M. C., Iyengar, P. V., García de Vinuesa, A., ten Dijke, P., &amp; Sanchez-Duffhues, G. (2019). Bone morphogenetic protein receptor signal transduction in human disease. The Journal of Pathology, 247(1), 9–20. https://doi.org/10.1002/path.5170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Lin, S., Svoboda, K., Feng, J. Q., &amp; Jiang, X. (2016). The biological function of type I receptors of bone morphogenetic protein in bone. Bone Research, 4, 16005. https://doi.org/10.1038/boneres.2016.5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Ruan, X., Gu, J., Chen, M., Zhao, F., Aili, M., &amp; Zhang, D. (2023). Multiple roles of ALK3 in osteoarthritis. Bone &amp; Joint Research, 12(6), 397–411. https://doi.org/10.1302/2046-3758.127.BJR-2022-0310.R1</w:t>
      </w:r>
    </w:p>
    <w:p>
      <w:pPr>
        <w:pStyle w:val="BodyText"/>
      </w:pPr>
      <w:r>
        <w:t xml:space="preserve">Sanchez-Duffhues, G., Williams, E., Goumans, M.-J., Heldin, C.-H., &amp; ten Dijke, P. (2020). Bone morphogenetic protein receptors: Structure, function and targeting by selective small molecule kinase inhibitors. Bone, 138, 115472. https://doi.org/10.1016/j.bone.2020.115472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2025-07-03T18:02:00Z</dcterms:created>
  <dcterms:modified xsi:type="dcterms:W3CDTF">2025-07-03T18:02:00Z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