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oposed-ecsub-subclass"/>
    <w:p>
      <w:pPr>
        <w:pStyle w:val="Heading2"/>
      </w:pPr>
      <w:r>
        <w:t xml:space="preserve">Proposed EC/sub-subclass:</w:t>
      </w:r>
    </w:p>
    <w:p>
      <w:pPr>
        <w:pStyle w:val="FirstParagraph"/>
      </w:pPr>
      <w:r>
        <w:t xml:space="preserve">2.7.11.– (protein-serine/threonine kinase)</w:t>
      </w:r>
    </w:p>
    <w:bookmarkEnd w:id="9"/>
    <w:bookmarkStart w:id="10" w:name="accepted-name"/>
    <w:p>
      <w:pPr>
        <w:pStyle w:val="Heading2"/>
      </w:pPr>
      <w:r>
        <w:t xml:space="preserve">Accepted name:</w:t>
      </w:r>
    </w:p>
    <w:p>
      <w:pPr>
        <w:pStyle w:val="FirstParagraph"/>
      </w:pPr>
      <w:r>
        <w:t xml:space="preserve">Transforming growth factor-β receptor type I (TGFBR1)</w:t>
      </w:r>
    </w:p>
    <w:bookmarkEnd w:id="10"/>
    <w:bookmarkStart w:id="11" w:name="synonyms"/>
    <w:p>
      <w:pPr>
        <w:pStyle w:val="Heading2"/>
      </w:pPr>
      <w:r>
        <w:t xml:space="preserve">Synonyms:</w:t>
      </w:r>
    </w:p>
    <w:p>
      <w:pPr>
        <w:pStyle w:val="FirstParagraph"/>
      </w:pPr>
      <w:r>
        <w:t xml:space="preserve">Activin-like kinase 5 (ALK5); type I TGF-β receptor</w:t>
      </w:r>
    </w:p>
    <w:bookmarkEnd w:id="11"/>
    <w:bookmarkStart w:id="12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Member of the type I ALK branch of the TGF-β receptor family, sharing 60–79 % sequence identity with ALK4 and ALK7 but only ~40 % with type II receptors, defining a distinct serine/threonine-kinase sub-clade (Goebel et al., 2019; Massagué &amp; Sheppard, 2023). The ligand/type I/type II receptor signalling module is conserved throughout metazoans, indicating an early evolutionary origin (Massagué &amp; Sheppard, 2023).</w:t>
      </w:r>
    </w:p>
    <w:bookmarkEnd w:id="12"/>
    <w:bookmarkStart w:id="13" w:name="reaction-catalysed"/>
    <w:p>
      <w:pPr>
        <w:pStyle w:val="Heading2"/>
      </w:pPr>
      <w:r>
        <w:t xml:space="preserve">Reaction catalysed</w:t>
      </w:r>
    </w:p>
    <w:p>
      <w:pPr>
        <w:pStyle w:val="FirstParagraph"/>
      </w:pPr>
      <w:r>
        <w:t xml:space="preserve">ATP + [protein-Ser/Thr] ⇌ ADP + [protein-phospho-Ser/Thr] (Massagué &amp; Sheppard, 2023).</w:t>
      </w:r>
    </w:p>
    <w:bookmarkEnd w:id="13"/>
    <w:bookmarkStart w:id="14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required for catalytic activity (Inman et al., 2002).</w:t>
      </w:r>
    </w:p>
    <w:bookmarkEnd w:id="14"/>
    <w:bookmarkStart w:id="15" w:name="specificity"/>
    <w:p>
      <w:pPr>
        <w:pStyle w:val="Heading2"/>
      </w:pPr>
      <w:r>
        <w:t xml:space="preserve">Specificity</w:t>
      </w:r>
    </w:p>
    <w:p>
      <w:pPr>
        <w:pStyle w:val="FirstParagraph"/>
      </w:pPr>
      <w:r>
        <w:t xml:space="preserve">Displays high specificity for the C-terminal S-X-S motif of receptor-regulated SMADs, generating a pSer-X-pSer signature; no broader consensus beyond the SXS core has been reported (Goebel et al., 2019; Massagué &amp; Sheppard, 2023).</w:t>
      </w:r>
    </w:p>
    <w:bookmarkEnd w:id="15"/>
    <w:bookmarkStart w:id="16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Extracellular cysteine-rich ligand-binding ectodomain → single-pass transmembrane helix → ~30-residue glycine/serine-rich (GS) regulatory domain → bilobal intracellular kinase domain (Unknown Authors, 2023a).</w:t>
      </w:r>
      <w:r>
        <w:br/>
      </w:r>
      <w:r>
        <w:t xml:space="preserve">The N-lobe contains a five-stranded β-sheet and αC helix; the C-lobe is predominantly α-helical (Goebel et al., 2019).</w:t>
      </w:r>
      <w:r>
        <w:br/>
      </w:r>
      <w:r>
        <w:t xml:space="preserve">The L45 loop (β4–β5) dictates SMAD docking selectivity (Goebel et al., 2019).</w:t>
      </w:r>
      <w:r>
        <w:br/>
      </w:r>
      <w:r>
        <w:t xml:space="preserve">An active-state Lys232(β3)–Glu245(αC) salt bridge forms when the GS domain is phosphorylated; binding of FKBP12 disrupts this bridge and blocks the ATP pocket (Goebel et al., 2019).</w:t>
      </w:r>
      <w:r>
        <w:br/>
      </w:r>
      <w:r>
        <w:t xml:space="preserve">Activation is driven by GS-domain phosphorylation–induced realignment of αC and assembly of the hydrophobic regulatory spine; activation-loop phosphorylation is dispensable (Goebel et al., 2019).</w:t>
      </w:r>
      <w:r>
        <w:br/>
      </w:r>
      <w:r>
        <w:t xml:space="preserve">Crystal structures of apo and inhibitor-bound kinase domains are available (e.g., PDB 3KCF, 3TZM) (Unknown Authors, 2023b).</w:t>
      </w:r>
    </w:p>
    <w:bookmarkEnd w:id="16"/>
    <w:bookmarkStart w:id="17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modifications</w:t>
      </w:r>
      <w:r>
        <w:br/>
      </w:r>
      <w:r>
        <w:t xml:space="preserve">• Phosphorylation of Ser/Thr residues within the GS domain by constitutively active TGFBR2 converts the receptor to an active conformation and creates a SMAD-binding site (Hinck &amp; O’Connor-McCourt, 2011).</w:t>
      </w:r>
      <w:r>
        <w:br/>
      </w:r>
      <w:r>
        <w:t xml:space="preserve">• Additional autophosphorylation events occur in the kinase domain (Unknown Authors, 2023a).</w:t>
      </w:r>
    </w:p>
    <w:p>
      <w:pPr>
        <w:pStyle w:val="BodyText"/>
      </w:pPr>
      <w:r>
        <w:t xml:space="preserve">Protein–protein interactions and allostery</w:t>
      </w:r>
      <w:r>
        <w:br/>
      </w:r>
      <w:r>
        <w:t xml:space="preserve">• FKBP12 binds the unphosphorylated GS domain, stabilising an inactive state; GS-domain phosphorylation releases FKBP12 (Goebel et al., 2019; Massagué &amp; Sheppard, 2023).</w:t>
      </w:r>
      <w:r>
        <w:br/>
      </w:r>
      <w:r>
        <w:t xml:space="preserve">• The pseudoreceptor BAMBI associates with the receptor complex and limits SMAD3 phosphorylation, providing negative feedback (Unknown Authors, 2023a).</w:t>
      </w:r>
    </w:p>
    <w:bookmarkEnd w:id="17"/>
    <w:bookmarkStart w:id="18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Upon TGFB1-3 binding, two TGFBR2 and two TGFBR1 subunits form a heterotetramer; TGFBR2 phosphorylates and activates TGFBR1 (Hinck &amp; O’Connor-McCourt, 2011).</w:t>
      </w:r>
      <w:r>
        <w:br/>
      </w:r>
      <w:r>
        <w:t xml:space="preserve">Activated ALK5 phosphorylates SMAD2/3, which complex with SMAD4 and translocate to the nucleus to regulate transcription (Massagué &amp; Sheppard, 2023).</w:t>
      </w:r>
      <w:r>
        <w:br/>
      </w:r>
      <w:r>
        <w:t xml:space="preserve">Controls epithelial–mesenchymal transition, extracellular matrix production, immune suppression, and fibrotic and oncogenic processes (Inman et al., 2002).</w:t>
      </w:r>
      <w:r>
        <w:br/>
      </w:r>
      <w:r>
        <w:t xml:space="preserve">Expression is broadly ubiquitous across human tissues (Unknown Authors, 2023a).</w:t>
      </w:r>
    </w:p>
    <w:bookmarkEnd w:id="18"/>
    <w:bookmarkStart w:id="19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SB-431542: ATP-competitive; IC₅₀ ≈ 94 nM; blocks ALK4/5/7 and SMAD2 phosphorylation (Inman et al., 2002).</w:t>
      </w:r>
      <w:r>
        <w:br/>
      </w:r>
      <w:r>
        <w:t xml:space="preserve">• SB-505124: 3–5 fold more potent than SB-431542 with similar selectivity (Byfield et al., 2004).</w:t>
      </w:r>
      <w:r>
        <w:br/>
      </w:r>
      <w:r>
        <w:t xml:space="preserve">• Additional co-crystallised inhibitors include pyrazolone (PDB 3KCF) and indolinone scaffolds (Unknown Authors, 2023b).</w:t>
      </w:r>
      <w:r>
        <w:br/>
      </w:r>
      <w:r>
        <w:t xml:space="preserve">Key binding interactions involve a hinge hydrogen bond to His283 and contacts with Lys232, Glu245, Tyr249 and Asp351 (Jiang et al., 2018).</w:t>
      </w:r>
    </w:p>
    <w:bookmarkEnd w:id="19"/>
    <w:bookmarkStart w:id="20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Gain-of-function mutation T204D disrupts FKBP12 binding and confers ligand-independent signalling, linked to ovarian sex-cord stromal tumours (Goebel et al., 2019).</w:t>
      </w:r>
      <w:r>
        <w:br/>
      </w:r>
      <w:r>
        <w:t xml:space="preserve">GS-domain mutation R206H causes constitutive activity and underlies fibrodysplasia ossificans progressiva (Goebel et al., 2019).</w:t>
      </w:r>
      <w:r>
        <w:br/>
      </w:r>
      <w:r>
        <w:t xml:space="preserve">Somatic loss-of-function mutations are observed in diverse cancers; inherited pathway variants predispose to connective-tissue disorders (Massagué &amp; Sheppard, 2023).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Byfield, S. D. C., Major, C., Laping, N. J., &amp; Roberts, A. B. (2004). SB-505124 is a selective inhibitor of transforming growth factor-β type I receptors ALK4, ALK5, and ALK7. Molecular Pharmacology, 65, 744–752. https://doi.org/10.1124/mol.65.3.744</w:t>
      </w:r>
    </w:p>
    <w:p>
      <w:pPr>
        <w:pStyle w:val="BodyText"/>
      </w:pPr>
      <w:r>
        <w:t xml:space="preserve">Goebel, E. J., Hart, K. N., McCoy, J. C., &amp; Thompson, T. B. (2019). Structural biology of the TGF-β family. Experimental Biology and Medicine, 244, 1530–1546. https://doi.org/10.1177/1535370219880894</w:t>
      </w:r>
    </w:p>
    <w:p>
      <w:pPr>
        <w:pStyle w:val="BodyText"/>
      </w:pPr>
      <w:r>
        <w:t xml:space="preserve">Hinck, A., &amp; O’Connor-McCourt, M. (2011). Structures of TGF-β receptor complexes: Implications for function and therapeutic intervention using ligand traps. Current Pharmaceutical Biotechnology, 12(12), 2081–2098. https://doi.org/10.2174/138920111798808383</w:t>
      </w:r>
    </w:p>
    <w:p>
      <w:pPr>
        <w:pStyle w:val="BodyText"/>
      </w:pPr>
      <w:r>
        <w:t xml:space="preserve">Inman, G. J., Nicolás, F. J., Callahan, J. F., Harling, J. D., Gaster, L. M., Reith, A. D., Laping, N. J., &amp; Hill, C. S. (2002). SB-431542 is a potent and specific inhibitor of transforming growth factor-β superfamily type I activin receptor-like kinase receptors ALK4, ALK5, and ALK7. Molecular Pharmacology, 62, 65–74. https://doi.org/10.1124/mol.62.1.65</w:t>
      </w:r>
    </w:p>
    <w:p>
      <w:pPr>
        <w:pStyle w:val="BodyText"/>
      </w:pPr>
      <w:r>
        <w:t xml:space="preserve">Jiang, M.-N., Zhou, X.-P., Sun, D.-R., Gao, H., Zheng, Q.-C., Zhang, H.-X., &amp; Liang, D. (2018). 2D-QSAR study, molecular docking, and molecular dynamics simulation studies of interaction mechanism between inhibitors and transforming growth factor-beta receptor I (ALK5). Journal of Biomolecular Structure and Dynamics, 36, 3705–3717. https://doi.org/10.1080/07391102.2017.1396256</w:t>
      </w:r>
    </w:p>
    <w:p>
      <w:pPr>
        <w:pStyle w:val="BodyText"/>
      </w:pPr>
      <w:r>
        <w:t xml:space="preserve">Massagué, J., &amp; Sheppard, D. (2023). TGF-β signaling in health and disease. Cell, 186, 4007–4037. https://doi.org/10.1016/j.cell.2023.07.036</w:t>
      </w:r>
    </w:p>
    <w:p>
      <w:pPr>
        <w:pStyle w:val="BodyText"/>
      </w:pPr>
      <w:r>
        <w:t xml:space="preserve">Unknown Authors. (2023a). Molecular insights into signalling mechanisms within TGF-β superfamily (pp. 26–31).</w:t>
      </w:r>
    </w:p>
    <w:p>
      <w:pPr>
        <w:pStyle w:val="BodyText"/>
      </w:pPr>
      <w:r>
        <w:t xml:space="preserve">Unknown Authors. (2023b). Molecular insights into signalling mechanisms within TGF-β superfamily (pp. 272–275).</w:t>
      </w:r>
    </w:p>
    <w:p>
      <w:pPr>
        <w:pStyle w:val="BodyText"/>
      </w:pPr>
      <w:r>
        <w:t xml:space="preserve">Unknown Authors. (2023c). Engineered antibodies for Igsf8 and Tgfbr1 modulate TGF-β signals in melanoma (pp. 20–24).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2025-07-03T21:10:49Z</dcterms:created>
  <dcterms:modified xsi:type="dcterms:W3CDTF">2025-07-03T21:10:49Z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