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genes are present in rat and mouse with high sequence identity to human CSK, and the full-length rat enzyme has been crystallised, underscoring functional conservation (Ogawa et al., 2002; Chong et al., 2005). Sequence conservation extends from Metazoa to unicellular choanoflagellates, indicating an ancient role in Src-family kinase (SFK) regulation (Okada, 2012). Within the human kinome, CSK belongs to the Tyrosine Kinase (TK) group and forms the CSK family together with its closest paralogue CHK/MATK (Cole et al., 2003; Chong et al., 2005).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[SFK]-L-tyrosine ⇌ ADP + [SFK]-O-phospho-L-tyrosine (Chong et al., 2005).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Mg²⁺; a second divalent cation further enhances activity in vitro (Sun &amp; Ayrapetov,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CSK is highly selective for the conserved C-terminal regulatory tyrosine of SFKs (e.g., SRC Y530, LCK Y505) (Chong et al., 2005). Isolated tail peptides are inefficient substrates; productive phosphorylation depends on a substrate-docking surface centred on helix D of the kinase domain rather than a simple linear consensus motif (Lee et al., 2006). Generic tyrosine peptides are phosphorylated only marginally, in contrast to the broad specificity of SFKs themselves (Cole et al., 2003).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SH3 domain, a central SH2 domain and a C-terminal kinase domain, with SH3/SH2 positioned on the kinase N-lobe (Ogawa et al., 2002).</w:t>
      </w:r>
      <w:r>
        <w:br/>
      </w:r>
      <w:r>
        <w:t xml:space="preserve">Active state: a Lys222–Glu236 salt bridge aligns the αC helix; catalytic residues Lys222, Asp314, Asn319 and Asp332 are correctly oriented, and the SH2 domain stabilises αC and the regulatory spine (Ogawa et al., 2002).</w:t>
      </w:r>
      <w:r>
        <w:br/>
      </w:r>
      <w:r>
        <w:t xml:space="preserve">Inactive state: ~60° rotation of the SH2 domain disrupts the Lys222–Glu236 ion pair and displaces αC (Ogawa et al., 2002).</w:t>
      </w:r>
      <w:r>
        <w:br/>
      </w:r>
      <w:r>
        <w:t xml:space="preserve">Additional features: activation loop is four residues shorter than in Src and lacks an autophosphorylation site; a conserved αBC helix in the SH3–SH2 linker docks on the C-lobe, providing unique allosteric communication; a dedicated substrate-docking cleft on helix D explains SFK-tail selectivity (Ogawa et al., 2002; Lee et al., 2006). The kinase domain has been crystallised with the pan-inhibitor staurosporine, confirming a canonical bilobal fold and ATP-binding geometry (Cole et al., 2003).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Ser364 phosphorylation by PKA increases catalytic efficiency (Chong et al., 2005).</w:t>
      </w:r>
      <w:r>
        <w:br/>
      </w:r>
      <w:r>
        <w:t xml:space="preserve">• Tyr18 phosphorylation by ACK1 modulates activity and membrane localisation (Zhu et al., 2023).</w:t>
      </w:r>
      <w:r>
        <w:br/>
      </w:r>
      <w:r>
        <w:t xml:space="preserve">• SUMO-1 conjugation via PIAS3 suppresses tumour-suppressor function (Sun &amp; Ayrapetov, 2023).</w:t>
      </w:r>
    </w:p>
    <w:p>
      <w:pPr>
        <w:pStyle w:val="BodyText"/>
      </w:pPr>
      <w:r>
        <w:t xml:space="preserve">Conformational / allosteric control</w:t>
      </w:r>
      <w:r>
        <w:br/>
      </w:r>
      <w:r>
        <w:t xml:space="preserve">• SH2 binding to phospho-CBP/PAG1, caveolin-1 or Dok-1/2 recruits CSK to lipid rafts and relieves intrinsic suppression (Zhu et al., 2023; Sun &amp; Ayrapetov, 2023).</w:t>
      </w:r>
      <w:r>
        <w:br/>
      </w:r>
      <w:r>
        <w:t xml:space="preserve">• Homodimerisation through the SH3 domain has been reported to influence activity (Zhu et al., 2023).</w:t>
      </w:r>
      <w:r>
        <w:br/>
      </w:r>
      <w:r>
        <w:t xml:space="preserve">• CSK shows negligible autophosphorylation; activation relies largely on ligand-induced domain rearrangements (Sun &amp; Ayrapetov,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CSK is ubiquitously expressed, with high levels in haematopoietic and neural tissues (Zhu et al., 2023). It phosphorylates the C-terminal inhibitory tyrosine of SRC, LCK, FYN, HCK, LYN, BLK and YES1, forcing an intramolecular SH2-tail interaction that inactivates these kinases (Chong et al., 2005). Through this action CSK modulates TCR, BCR, integrin and multiple growth-factor receptor pathways. In mast cells it restrains LYN/SHP-1/STAT5 signalling and degranulation, dampens Toll-like receptor signalling via the LYN–MyD88 axis and phosphorylates MITA during antiviral responses (Zhu et al., 2023). Csk-null mice die in utero with neural-tube defects, a phenotype rescued by concurrent Src deletion, demonstrating the enzyme’s essential negative regulation of SFKs in vivo (Cole et al., 2003).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Staurosporine, a broad-spectrum ATP-competitive inhibitor, binds the CSK catalytic cleft; no CSK-selective small-molecule inhibitors have been reported (Cole et al., 2003).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Reduced CSK activity or defective membrane recruitment correlates with elevated Src signalling in colorectal and non-small-cell lung cancers (Okada, 2012; Sun &amp; Ayrapetov, 2023). Mutations in the N-terminal regulatory region decrease catalytic activity without impairing Src recognition (Levinson et al., 2008). SUMOylation-driven attenuation further links CSK loss of function to oncogenic signalling (Sun &amp; Ayrapetov, 2023).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Chong, Y.-P., Mulhern, T. D., &amp; Cheng, H.-C. (2005). C-terminal Src kinase (CSK) and CSK-homologous kinase (CHK)—endogenous negative regulators of Src-family protein kinases.</w:t>
      </w:r>
      <w:r>
        <w:t xml:space="preserve"> </w:t>
      </w:r>
      <w:r>
        <w:rPr>
          <w:i/>
          <w:iCs/>
        </w:rPr>
        <w:t xml:space="preserve">Growth Factors, 23</w:t>
      </w:r>
      <w:r>
        <w:t xml:space="preserve">, 233–244. https://doi.org/10.1080/08977190500178877</w:t>
      </w:r>
    </w:p>
    <w:p>
      <w:pPr>
        <w:pStyle w:val="BodyText"/>
      </w:pPr>
      <w:r>
        <w:t xml:space="preserve">Cole, P., Shen, K., Qiao, Y., &amp; Wang, D. (2003). Protein tyrosine kinases Src and CSK: A tail’s tale.</w:t>
      </w:r>
      <w:r>
        <w:t xml:space="preserve"> </w:t>
      </w:r>
      <w:r>
        <w:rPr>
          <w:i/>
          <w:iCs/>
        </w:rPr>
        <w:t xml:space="preserve">Current Opinion in Chemical Biology, 7</w:t>
      </w:r>
      <w:r>
        <w:t xml:space="preserve">(5), 580–585. https://doi.org/10.1016/j.cbpa.2003.08.009</w:t>
      </w:r>
    </w:p>
    <w:p>
      <w:pPr>
        <w:pStyle w:val="BodyText"/>
      </w:pPr>
      <w:r>
        <w:t xml:space="preserve">Lee, S., Ayrapetov, M. K., Kemble, D. J., Parang, K., &amp; Sun, G. (2006). Docking-based substrate recognition by the catalytic domain of a protein tyrosine kinase, C-terminal Src kinase (CSK).</w:t>
      </w:r>
      <w:r>
        <w:t xml:space="preserve"> </w:t>
      </w:r>
      <w:r>
        <w:rPr>
          <w:i/>
          <w:iCs/>
        </w:rPr>
        <w:t xml:space="preserve">Journal of Biological Chemistry, 281</w:t>
      </w:r>
      <w:r>
        <w:t xml:space="preserve">, 8183–8189. https://doi.org/10.1074/jbc.M508120200</w:t>
      </w:r>
    </w:p>
    <w:p>
      <w:pPr>
        <w:pStyle w:val="BodyText"/>
      </w:pPr>
      <w:r>
        <w:t xml:space="preserve">Levinson, N., Seeliger, M., Cole, P., &amp; Kuriyan, J. (2008). Structural basis for the recognition of c-Src by its inactivator CSK.</w:t>
      </w:r>
      <w:r>
        <w:t xml:space="preserve"> </w:t>
      </w:r>
      <w:r>
        <w:rPr>
          <w:i/>
          <w:iCs/>
        </w:rPr>
        <w:t xml:space="preserve">Cell, 134</w:t>
      </w:r>
      <w:r>
        <w:t xml:space="preserve">, 124–134. https://doi.org/10.1016/j.cell.2008.05.051</w:t>
      </w:r>
    </w:p>
    <w:p>
      <w:pPr>
        <w:pStyle w:val="BodyText"/>
      </w:pPr>
      <w:r>
        <w:t xml:space="preserve">Ogawa, A., Takayama, Y., Sakai, H., Chong, K. T., Takeuchi, S., Nakagawa, A., … Tsukihara, T. (2002). Structure of the carboxyl-terminal Src kinase, CSK.</w:t>
      </w:r>
      <w:r>
        <w:t xml:space="preserve"> </w:t>
      </w:r>
      <w:r>
        <w:rPr>
          <w:i/>
          <w:iCs/>
        </w:rPr>
        <w:t xml:space="preserve">Journal of Biological Chemistry, 277</w:t>
      </w:r>
      <w:r>
        <w:t xml:space="preserve">, 14351–14354. https://doi.org/10.1074/jbc.C200086200</w:t>
      </w:r>
    </w:p>
    <w:p>
      <w:pPr>
        <w:pStyle w:val="BodyText"/>
      </w:pPr>
      <w:r>
        <w:t xml:space="preserve">Okada, M. (2012). Regulation of the Src family kinases by CSK.</w:t>
      </w:r>
      <w:r>
        <w:t xml:space="preserve"> </w:t>
      </w:r>
      <w:r>
        <w:rPr>
          <w:i/>
          <w:iCs/>
        </w:rPr>
        <w:t xml:space="preserve">International Journal of Biological Sciences, 8</w:t>
      </w:r>
      <w:r>
        <w:t xml:space="preserve">, 1385–1397. https://doi.org/10.7150/ijbs.5141</w:t>
      </w:r>
    </w:p>
    <w:p>
      <w:pPr>
        <w:pStyle w:val="BodyText"/>
      </w:pPr>
      <w:r>
        <w:t xml:space="preserve">Sun, G., &amp; Ayrapetov, M. K. (2023). Dissection of the catalytic and regulatory structure-function relationships of CSK protein tyrosine kinase.</w:t>
      </w:r>
      <w:r>
        <w:t xml:space="preserve"> </w:t>
      </w:r>
      <w:r>
        <w:rPr>
          <w:i/>
          <w:iCs/>
        </w:rPr>
        <w:t xml:space="preserve">Frontiers in Cell and Developmental Biology</w:t>
      </w:r>
      <w:r>
        <w:t xml:space="preserve">. https://doi.org/10.3389/fcell.2023.1148352</w:t>
      </w:r>
    </w:p>
    <w:p>
      <w:pPr>
        <w:pStyle w:val="BodyText"/>
      </w:pPr>
      <w:r>
        <w:t xml:space="preserve">Zhu, S., Wang, H., Ranjan, K., &amp; Zhang, D. (2023). Regulation, targets and functions of CSK.</w:t>
      </w:r>
      <w:r>
        <w:t xml:space="preserve"> </w:t>
      </w:r>
      <w:r>
        <w:rPr>
          <w:i/>
          <w:iCs/>
        </w:rPr>
        <w:t xml:space="preserve">Frontiers in Cell and Developmental Biology</w:t>
      </w:r>
      <w:r>
        <w:t xml:space="preserve">. https://doi.org/10.3389/fcell.2023.1206539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2025-07-03T23:35:30Z</dcterms:created>
  <dcterms:modified xsi:type="dcterms:W3CDTF">2025-07-03T23:35:30Z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