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Mechanistic Target of Rapamycin (mTOR) is an atypical serine/threonine protein kinase belonging to the phosphatidylinositol-3-kinase-related kinase (PIKK) family, together with ATM, ATR, DNA-PK, SMG1 and TRRAP (Chao &amp; Avruch, 2019). Single TOR orthologues are present throughout eukaryotes—TOR1/TOR2 (Saccharomyces cerevisiae), dTOR (Drosophila melanogaster) and LET-363 (Caenorhabditis elegans)—whereas higher vertebrates carry two nearly identical paralogues (&gt; 95 % identity in human, mouse and rat) (The mammalian target…, 2005; The role of phosphorylation…, 2004).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→ ADP + [protein]-Ser/Thr-phosphate (mTOR kinase structure…, 2013).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two Mg²⁺ ions that coordinate ATP within the active site (mTOR kinase structure…, 2013).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Catalytic domain prefers Ser/Thr followed by Pro within a hydrophobic Φ-Φ-[ST]-P motif (Chao &amp; Avruch, 2019).</w:t>
      </w:r>
      <w:r>
        <w:br/>
      </w:r>
      <w:r>
        <w:t xml:space="preserve">• mTORC1 substrates additionally contain an N-terminal TOR-signalling (TOS) motif (Φ-Φ-x-x-Φ) that docks on RAPTOR (Tafur et al., 2020).</w:t>
      </w:r>
      <w:r>
        <w:br/>
      </w:r>
      <w:r>
        <w:t xml:space="preserve">• Verified mTORC1 targets: S6K1, 4E-BP1 and PRAS40.</w:t>
      </w:r>
      <w:r>
        <w:br/>
      </w:r>
      <w:r>
        <w:t xml:space="preserve">• Verified mTORC2 targets: Akt Ser473, SGK1 and multiple conventional/novel PKC isoforms (Scaiola et al., 2020; Chao &amp; Avruch, 2019).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mTOR polypeptide: N-HEAT (≈ 32 repeats) → M-HEAT → FAT solenoid → FRB insertion → PI3K-like kinase domain with LBE insertion binding mLST8 → C-terminal FATC tail (Chao &amp; Avruch, 2019; mTOR kinase structure…, 2013).</w:t>
      </w:r>
      <w:r>
        <w:br/>
      </w:r>
      <w:r>
        <w:t xml:space="preserve">mTORC1: lozenge-shaped dimer of mTOR–RAPTOR–mLST8 heterotrimers (PDB 6BCU); RAPTOR’s caspase-like domain abuts the FRB gate for substrate docking (Aylett et al., 2016).</w:t>
      </w:r>
      <w:r>
        <w:br/>
      </w:r>
      <w:r>
        <w:t xml:space="preserve">mTORC2: compact rhomboid dimer in which RICTOR and SIN1 encircle the catalytic cores, explaining rapamycin resistance (Scaiola et al., 2020).</w:t>
      </w:r>
      <w:r>
        <w:br/>
      </w:r>
      <w:r>
        <w:t xml:space="preserve">The FAT domain clamps kinase lobes, widening the active site; Rheb-GTP binding realigns these elements and activates catalysis (Chao &amp; Avruch, 2019).</w:t>
      </w:r>
      <w:r>
        <w:br/>
      </w:r>
      <w:r>
        <w:t xml:space="preserve">Activation loop is pre-ordered and phosphorylation-independent; FRB helix forms the rapamycin-binding steric gate (mTOR kinase structure…, 2013).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Ser2448 (S6K1 feedback or Akt—conflicting data) (Bai &amp; Jiang, 2010; Figueiredo et al., 2017).</w:t>
      </w:r>
      <w:r>
        <w:br/>
      </w:r>
      <w:r>
        <w:t xml:space="preserve">• Thr2446 phosphorylated by AMPK under energy stress (Bai &amp; Jiang, 2010).</w:t>
      </w:r>
      <w:r>
        <w:br/>
      </w:r>
      <w:r>
        <w:t xml:space="preserve">• Ser2481 autophosphorylation reports intrinsic activity (Bai &amp; Jiang, 2010).</w:t>
      </w:r>
      <w:r>
        <w:br/>
      </w:r>
      <w:r>
        <w:t xml:space="preserve">• Ser2159 and Ser1261 phosphorylation enhance mTORC1 output (Tchevkina &amp; Komelkov, 2012).</w:t>
      </w:r>
      <w:r>
        <w:br/>
      </w:r>
      <w:r>
        <w:t xml:space="preserve">• Lys1218 acetylation may affect complex stability (Chao &amp; Avruch, 2019).</w:t>
      </w:r>
    </w:p>
    <w:p>
      <w:pPr>
        <w:pStyle w:val="BodyText"/>
      </w:pPr>
      <w:r>
        <w:t xml:space="preserve">Allosteric and contextual control</w:t>
      </w:r>
      <w:r>
        <w:br/>
      </w:r>
      <w:r>
        <w:t xml:space="preserve">• Rheb-GTP engagement removes FAT clamp and increases k_cat (Chao &amp; Avruch, 2019).</w:t>
      </w:r>
      <w:r>
        <w:br/>
      </w:r>
      <w:r>
        <w:t xml:space="preserve">• Rag GTPases loaded with amino acids recruit mTORC1 to lysosomes for Rheb-dependent activation (Chao &amp; Avruch, 2019).</w:t>
      </w:r>
      <w:r>
        <w:br/>
      </w:r>
      <w:r>
        <w:t xml:space="preserve">• Inhibitory partners PRAS40, FKBP38 and DEPTOR block FRB/RAPTOR interfaces (Chao &amp; Avruch, 2019; Wälchli et al., 2021).</w:t>
      </w:r>
      <w:r>
        <w:br/>
      </w:r>
      <w:r>
        <w:t xml:space="preserve">• AMPK phosphorylates RAPTOR to suppress mTORC1 in low-energy states (Bai &amp; Jiang, 2010).</w:t>
      </w:r>
      <w:r>
        <w:br/>
      </w:r>
      <w:r>
        <w:t xml:space="preserve">• FKBP12-rapamycin complex binds FRB and sterically excludes substrates without complex disassembly (Bai &amp; Jiang, 2010).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GTEx data show ubiquitous MTOR expression, highest in muscle, liver and brain (Chao &amp; Avruch, 2019).</w:t>
      </w:r>
      <w:r>
        <w:br/>
      </w:r>
      <w:r>
        <w:t xml:space="preserve">mTORC1 promotes anabolic growth—stimulates protein and lipid synthesis (S6K1, 4E-BP1, ULK1, TFEB) and represses autophagy (Bai &amp; Jiang, 2010; Chao &amp; Avruch, 2019).</w:t>
      </w:r>
      <w:r>
        <w:br/>
      </w:r>
      <w:r>
        <w:t xml:space="preserve">mTORC2 phosphorylates Akt, SGK1 and PKCs to control survival, ion transport and cytoskeleton (Scaiola et al., 2020).</w:t>
      </w:r>
      <w:r>
        <w:br/>
      </w:r>
      <w:r>
        <w:t xml:space="preserve">Upstream PI3K-Akt signalling inhibits TSC1/2, elevating Rheb-GTP and activating mTORC1; AMPK counteracts under ATP depletion (Inoki et al., 2005).</w:t>
      </w:r>
      <w:r>
        <w:br/>
      </w:r>
      <w:r>
        <w:t xml:space="preserve">Active complexes localise mainly to lysosomal membranes, with additional cytoplasmic/nuclear pools (Chao &amp; Avruch, 2019; The role of phosphorylation…, 2004).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Allosteric macrolides: rapamycin and rapalogs (temsirolimus, everolimus, AP23573) form FKBP12–drug complexes that bind FRB and selectively inhibit mTORC1 (The mammalian target…, 2005; Bai &amp; Jiang, 2010).</w:t>
      </w:r>
      <w:r>
        <w:br/>
      </w:r>
      <w:r>
        <w:t xml:space="preserve">• ATP-competitive inhibitors: Torin1/2, PP242, MLN0128, PI-103 occupy the catalytic cleft and suppress both complexes; stacking against Trp2239 underlies selectivity (mTOR kinase structure…, 2013; Tafur et al.,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Hyperactive MTOR signalling drives cancers, metabolic and neurological disorders (Scaiola et al., 2020; Wälchli et al., 2021).</w:t>
      </w:r>
      <w:r>
        <w:br/>
      </w:r>
      <w:r>
        <w:t xml:space="preserve">Recurrent activating (E1799K, S2215Y, F2415I) or drug-resistant (S2035F/I) mutations cluster in functional domains (Tafur et al., 2020; Chao &amp; Avruch, 2019; The role of phosphorylation…, 2004).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Aylett, C. H. S., Sauer, E., Imseng, S., Boehringer, D., Hall, M. N., Ban, N., &amp; Maier, T. (2016). Architecture of human mTOR complex 1. Science, 351(6268), 48–52. https://doi.org/10.1126/science.aaa3870</w:t>
      </w:r>
    </w:p>
    <w:p>
      <w:pPr>
        <w:pStyle w:val="BodyText"/>
      </w:pPr>
      <w:r>
        <w:t xml:space="preserve">Bai, X., &amp; Jiang, Y. (2010). Key factors in mTOR regulation. Cellular and Molecular Life Sciences, 67, 239–253. https://doi.org/10.1007/s00018-009-0163-7</w:t>
      </w:r>
    </w:p>
    <w:p>
      <w:pPr>
        <w:pStyle w:val="BodyText"/>
      </w:pPr>
      <w:r>
        <w:t xml:space="preserve">Chao, L., &amp; Avruch, J. (2019). Cryo-EM insight into the structure of mTOR complex 1 and its interactions with Rheb and substrates. F1000Research. https://doi.org/10.12688/f1000research.16109.1</w:t>
      </w:r>
    </w:p>
    <w:p>
      <w:pPr>
        <w:pStyle w:val="BodyText"/>
      </w:pPr>
      <w:r>
        <w:t xml:space="preserve">Figueiredo, V. C., Markworth, J. F., &amp; Cameron-Smith, D. (2017). Considerations on mTOR regulation at serine 2448: Implications for muscle metabolism studies. Cellular and Molecular Life Sciences, 74, 2537–2545. https://doi.org/10.1007/s00018-017-2481-5</w:t>
      </w:r>
    </w:p>
    <w:p>
      <w:pPr>
        <w:pStyle w:val="BodyText"/>
      </w:pPr>
      <w:r>
        <w:t xml:space="preserve">Inoki, K., Ouyang, H., Li, Y., &amp; Guan, K. L. (2005). Signaling by target of rapamycin proteins in cell growth control. Microbiology and Molecular Biology Reviews, 69(1), 79–100. https://doi.org/10.1128/MMBR.69.1.79-100.2005</w:t>
      </w:r>
    </w:p>
    <w:p>
      <w:pPr>
        <w:pStyle w:val="BodyText"/>
      </w:pPr>
      <w:r>
        <w:t xml:space="preserve">Scaiola, A., Mangia, F., Imseng, S., Boehringer, D., Berneiser, K., Shimobayashi, M., Stuttfeld, E., Hall, M. N., Ban, N., &amp; Maier, T. (2020). The 3.2 Å resolution structure of human mTORC2. Science Advances, 6(48), eabc1251. https://doi.org/10.1126/sciadv.abc1251</w:t>
      </w:r>
    </w:p>
    <w:p>
      <w:pPr>
        <w:pStyle w:val="BodyText"/>
      </w:pPr>
      <w:r>
        <w:t xml:space="preserve">Tafur, L., Kefauver, J., &amp; Loewith, R. (2020). Structural insights into TOR signaling. Genes, 11(8), 885. https://doi.org/10.3390/genes11080885</w:t>
      </w:r>
    </w:p>
    <w:p>
      <w:pPr>
        <w:pStyle w:val="BodyText"/>
      </w:pPr>
      <w:r>
        <w:t xml:space="preserve">Tchevkina, E., &amp; Komelkov, A. (2012). Protein phosphorylation as a key mechanism of mTORC1/2 signaling pathways. In Protein Phosphorylation in Human Health. https://doi.org/10.5772/48274</w:t>
      </w:r>
    </w:p>
    <w:p>
      <w:pPr>
        <w:pStyle w:val="BodyText"/>
      </w:pPr>
      <w:r>
        <w:t xml:space="preserve">Wälchli, M., Berneiser, K., Mangia, F., Imseng, S., Craigie, L. M., Stuttfeld, E., Hall, M. N., &amp; Maier, T. (2021). Regulation of human mTOR complexes by DEPTOR. eLife, 10, e70871. https://doi.org/10.7554/eLife.70871</w:t>
      </w:r>
    </w:p>
    <w:p>
      <w:pPr>
        <w:pStyle w:val="BodyText"/>
      </w:pPr>
      <w:r>
        <w:t xml:space="preserve">mTOR kinase structure, mechanism and regulation. (2013). [Reference details not provided].</w:t>
      </w:r>
    </w:p>
    <w:p>
      <w:pPr>
        <w:pStyle w:val="BodyText"/>
      </w:pPr>
      <w:r>
        <w:t xml:space="preserve">The mammalian target of the rapamycin (mTOR) kinase pathway: Its role in tumourigenesis and targeted antitumour therapy. (2005). [Reference details not provided].</w:t>
      </w:r>
    </w:p>
    <w:p>
      <w:pPr>
        <w:pStyle w:val="BodyText"/>
      </w:pPr>
      <w:r>
        <w:t xml:space="preserve">The role of phosphorylation in the regulation of the mammalian target of rapamycin. (2004). [Reference details not provided].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2025-07-03T21:22:18Z</dcterms:created>
  <dcterms:modified xsi:type="dcterms:W3CDTF">2025-07-03T21:22:18Z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