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FRK is a member of the BRK/FRK/SRMS sub-family of atypical Src-related non-receptor tyrosine kinases located within the Tyrosine Kinase (TK) group of the human kinome (Berndt &amp; Liebscher, 2021). Orthologous proteins include mouse Bsk/Iyk, rat Gtk and mouse Gtk, which share ≈ 89 % sequence identity with human FRK and are highly conserved across mammals (Unknown authors, 2015a). Human FRK shares ~ 49 % amino-acid identity with the canonical Src-family kinase Fyn and ~ 30–40 % identity with typical Src kinases, indicating divergence after the Src lineage split (Goel &amp; Lukong, 2016; Unknown authors, 2015a).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[protein]-O⁴-phospho-L-tyrosine (Unknown authors, 2015a).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is Mg²⁺-dependent (Yang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Validated physiological sites include PTEN Tyr336, EGFR Tyr1173 and BRCA1 Tyr1152 (Goel &amp; Lukong, 2016; Unknown authors, 2022). A global phosphopeptide consensus motif for FRK has not yet been defined (Goel &amp; Lukong,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SH3 (residues 42–110), SH2 domain containing a bipartite NLS (116–208), bilobed kinase domain (234–491) and a C-terminal regulatory tail ending at Tyr497 (Unknown authors, 2015a). Catalytic and regulatory residues include Lys262 (ATP anchoring), Asp351 (HRD motif), Tyr387 (activation-loop autophosphorylation) and Tyr497 (inhibitory tail) (Unknown authors, 2015b). FRK lacks the N-terminal myristoylation/palmitoylation motifs found in classical Src-family kinases, explaining its mainly soluble cytoplasmic or nuclear localisation (Unknown authors, 2015a). No full-length crystal structure is available; homology models and comparisons with PTK6 crystal structures indicate a canonical Src-like αC-helix and hydrophobic spine arrangement (Thakur et al.,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Tyr387 enhances catalytic activity (Goel &amp; Lukong, 2016).</w:t>
      </w:r>
      <w:r>
        <w:br/>
      </w:r>
      <w:r>
        <w:t xml:space="preserve">• CSK-mediated phosphorylation of the C-terminal Tyr497 promotes SH2-dependent autoinhibition; mutation Y497F produces a constitutively active kinase (Goel &amp; Lukong, 2016; Unknown authors, 2015a).</w:t>
      </w:r>
      <w:r>
        <w:br/>
      </w:r>
      <w:r>
        <w:t xml:space="preserve">• NEDD4 E3 ubiquitin ligase ubiquitinates FRK, decreasing protein stability (Goel &amp; Lukong, 2016).</w:t>
      </w:r>
      <w:r>
        <w:br/>
      </w:r>
      <w:r>
        <w:t xml:space="preserve">• Intramolecular SH3/SH2–linker contacts maintain a closed inactive conformation analogous to Src-family kinases (Goel &amp; Lukong, 2016).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patterns: FRK is highly expressed in lung, liver, kidney, pancreas, mammary and intestinal epithelial cells (Goel &amp; Lukong, 2016).</w:t>
      </w:r>
    </w:p>
    <w:p>
      <w:pPr>
        <w:pStyle w:val="BodyText"/>
      </w:pPr>
      <w:r>
        <w:t xml:space="preserve">Subcellular localisation: Predominantly cytoplasmic with context-dependent nuclear pools directed by the SH2-embedded NLS (Unknown authors, 2015a).</w:t>
      </w:r>
    </w:p>
    <w:p>
      <w:pPr>
        <w:pStyle w:val="BodyText"/>
      </w:pPr>
      <w:r>
        <w:t xml:space="preserve">Upstream regulators: CSK (inhibitory Tyr497 phosphorylation) and NEDD4 (ubiquitination) (Goel &amp; Lukong, 2016).</w:t>
      </w:r>
    </w:p>
    <w:p>
      <w:pPr>
        <w:pStyle w:val="BodyText"/>
      </w:pPr>
      <w:r>
        <w:t xml:space="preserve">Downstream substrates / pathways</w:t>
      </w:r>
      <w:r>
        <w:br/>
      </w:r>
      <w:r>
        <w:t xml:space="preserve">– PTEN phosphorylation stabilises PTEN and dampens PI3K–AKT signalling (Unknown authors, 2015a).</w:t>
      </w:r>
      <w:r>
        <w:br/>
      </w:r>
      <w:r>
        <w:t xml:space="preserve">– EGFR Tyr1173 phosphorylation promotes receptor internalisation and suppresses EGFR signalling (Goel &amp; Lukong, 2016).</w:t>
      </w:r>
      <w:r>
        <w:br/>
      </w:r>
      <w:r>
        <w:t xml:space="preserve">– BRCA1 phosphorylation increases BRCA1 stability within DNA-damage response pathways (Unknown authors, 2022).</w:t>
      </w:r>
      <w:r>
        <w:br/>
      </w:r>
      <w:r>
        <w:t xml:space="preserve">– FRK expression reduces STAT3, JNK and p38 MAPK phosphorylation while increasing ERK1/2 activity in breast cancer cells (Unknown authors, 2015c).</w:t>
      </w:r>
      <w:r>
        <w:br/>
      </w:r>
      <w:r>
        <w:t xml:space="preserve">– SH3-mediated binding to pRb reinforces G1/S cell-cycle arrest (Unknown authors, 2015a).</w:t>
      </w:r>
    </w:p>
    <w:p>
      <w:pPr>
        <w:pStyle w:val="BodyText"/>
      </w:pPr>
      <w:r>
        <w:t xml:space="preserve">Biological roles: FRK negatively regulates cell proliferation, migration, invasion and anchorage-independent growth in breast-cancer models, with stronger effects for the constitutively active Y497F variant (Unknown authors, 2015d). Conversely, activating FRK point mutations confer oncogenic activity in hepatocellular carcinoma (Goel &amp; Lukong,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Broad-spectrum kinase inhibitors staurosporine and dasatinib inhibit FRK in vitro (Goel &amp; Lukong, 2016; Yang et al., 2010). Screening compounds SU4984 and D-65495 also show activity toward FRK family kinases (Goel &amp; Lukong, 2016).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 of heterozygosity at 6q21-q22.3 encompassing FRK occurs in ~ 48 % of breast tumours, melanomas and non-small-cell lung cancers (Goel &amp; Lukong, 2016). Oncogenic ETV6-FRK fusion proteins drive leukemogenesis in certain haematologic malignancies (Goel &amp; Lukong, 2016). Activating mutations in hepatocellular carcinoma correlate with elevated STAT3 signalling (Goel &amp; Lukong, 2016). Higher FRK mRNA levels are associated with improved overall survival in breast cancer cohorts (Goel &amp; Lukong, 2016).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Berndt, S., &amp; Liebscher, I. (2021). New structural perspectives in G protein-coupled receptor-mediated Src family kinase activation. International Journal of Molecular Sciences, 22, 6489. https://doi.org/10.3390/ijms22126489</w:t>
      </w:r>
    </w:p>
    <w:p>
      <w:pPr>
        <w:pStyle w:val="BodyText"/>
      </w:pPr>
      <w:r>
        <w:t xml:space="preserve">Goel, R. K., &amp; Lukong, K. E. (2016). Understanding the cellular roles of Fyn-related kinase (FRK): Implications in cancer biology. Cancer and Metastasis Reviews, 35, 179–199. https://doi.org/10.1007/s10555-016-9623-3</w:t>
      </w:r>
    </w:p>
    <w:p>
      <w:pPr>
        <w:pStyle w:val="BodyText"/>
      </w:pPr>
      <w:r>
        <w:t xml:space="preserve">Thakur, M., Kumar, A., Birudukota, S., Swaminathan, S., Tyagi, R., &amp; Gosu, R. (2016). Crystal structure of the kinase domain of human protein tyrosine kinase 6 (PTK6) at 2.33 Å resolution. Biochemical and Biophysical Research Communications, 478(2), 637–642. https://doi.org/10.1016/j.bbrc.2016.07.121</w:t>
      </w:r>
    </w:p>
    <w:p>
      <w:pPr>
        <w:pStyle w:val="BodyText"/>
      </w:pPr>
      <w:r>
        <w:t xml:space="preserve">Yang, X., Kinoshita, T., Gouda, M., Yokota, K., &amp; Tada, T. (2010). A silent mutation made possible efficient production of active human FRK tyrosine kinase in Escherichia coli. Bioscience, Biotechnology, and Biochemistry, 74, 125–128. https://doi.org/10.1271/bbb.90648</w:t>
      </w:r>
    </w:p>
    <w:p>
      <w:pPr>
        <w:pStyle w:val="BodyText"/>
      </w:pPr>
      <w:r>
        <w:t xml:space="preserve">Unknown authors. (2015a). Effects of Fyn-related kinase activity on breast cancer cell proliferation, migration, invasion and colony formation (pp. 26–35).</w:t>
      </w:r>
    </w:p>
    <w:p>
      <w:pPr>
        <w:pStyle w:val="BodyText"/>
      </w:pPr>
      <w:r>
        <w:t xml:space="preserve">Unknown authors. (2015b). Effects of Fyn-related kinase activity on breast cancer cell proliferation, migration, invasion and colony formation (pp. 22–28).</w:t>
      </w:r>
    </w:p>
    <w:p>
      <w:pPr>
        <w:pStyle w:val="BodyText"/>
      </w:pPr>
      <w:r>
        <w:t xml:space="preserve">Unknown authors. (2015c). Effects of Fyn-related kinase activity on breast cancer cell proliferation, migration, invasion and colony formation (pp. 82–86).</w:t>
      </w:r>
    </w:p>
    <w:p>
      <w:pPr>
        <w:pStyle w:val="BodyText"/>
      </w:pPr>
      <w:r>
        <w:t xml:space="preserve">Unknown authors. (2015d). Effects of Fyn-related kinase activity on breast cancer cell proliferation, migration, invasion and colony formation (pp. 65–73).</w:t>
      </w:r>
    </w:p>
    <w:p>
      <w:pPr>
        <w:pStyle w:val="BodyText"/>
      </w:pPr>
      <w:r>
        <w:t xml:space="preserve">Unknown authors. (2022). The role of BRK in gastric cancer (pp. 37–42).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2025-07-03T21:44:28Z</dcterms:created>
  <dcterms:modified xsi:type="dcterms:W3CDTF">2025-07-03T21:44:28Z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