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Spleen tyrosine kinase (SYK) belongs to the Tyrosine Kinase (TK) group, SYK/ZAP-70 family identified by kinome surveys (Patterson et al., 2015). Vertebrates encode a single paralog (ZAP-70) that shares tandem SH2-kinase architecture (Sada et al., 2001). Documented SYK/ZAP-70 orthologs occur in chicken, mouse, rat, frog, zebrafish, the cartilaginous fish Callorhinchus milii, and Drosophila melanogaster SHARK (Patterson et al., 2015). A lamprey sequence (Lj-Syk) containing both SH2 and kinase domains indicates that the family predates the jawed/jawless vertebrate split (Liu et al., 2015).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⇌ ADP + protein-L-tyrosyl-phosphate (Sada et al., 2001).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Mg²⁺, coordinated by Asp518 of the DFG motif in the active site (Atwell et al., 2004).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Peptide-array profiling shows a dominant −1 P-Y-x-R/K motif with Pro at −1 and basic residues at +2/+3 (Yaron-Barir et al., 2024). Acidic or bulky hydrophobic residues (Asp/Glu/Leu/Ile) are tolerated at −1; Glu is mildly preferred at +1, Pro at +3, while other positively charged residues are generally disfavoured (Hobbs et al., 2022). Recognition is further enhanced by “phospho-priming” when a phospho-Tyr/Thr is pre-existing at −1 or +2 (Yaron-Barir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full-length protein is organised N-SH2 (~7-115) – inter-SH2 linker (A) – C-SH2 (~116-269) – interdomain B (~120 aa) – kinase domain (356-635) (Unknown Authors, 2009).</w:t>
      </w:r>
      <w:r>
        <w:br/>
      </w:r>
      <w:r>
        <w:t xml:space="preserve">• Tandem SH2 crystal structure (PDB 1A81) shows head-to-tail binding to a doubly phosphorylated ITAM peptide (Singh et al., 2012).</w:t>
      </w:r>
      <w:r>
        <w:br/>
      </w:r>
      <w:r>
        <w:t xml:space="preserve">• Kinase domain structures include apo (1XBA), imatinib-bound (1XBB) and staurosporine-bound (1XBC); despite being unphosphorylated, the kinase adopts an active DFG-in conformation with the activation loop partly disordered (Atwell et al., 2004).</w:t>
      </w:r>
      <w:r>
        <w:br/>
      </w:r>
      <w:r>
        <w:t xml:space="preserve">• A higher-resolution inhibitor complex (PDB 4PUZ) displays aligned hydrophobic spines and an ordered αC-helix (Singh et al., 2012).</w:t>
      </w:r>
      <w:r>
        <w:br/>
      </w:r>
      <w:r>
        <w:t xml:space="preserve">• Key catalytic residues: Lys402 (β3), Asp512 (HRD), Asp518 (DFG), and activation-loop Tyr525/Tyr526 (Atwell et al., 2004).</w:t>
      </w:r>
      <w:r>
        <w:br/>
      </w:r>
      <w:r>
        <w:t xml:space="preserve">• An EM model of the full-length protein reveals a closed “linker-kinase sandwich” that mediates autoinhibition; ITAM engagement or linker tyrosine phosphorylation opens the structure (Singh et al., 2012).</w:t>
      </w:r>
      <w:r>
        <w:br/>
      </w:r>
      <w:r>
        <w:t xml:space="preserve">• Imatinib binds in a unique cis orientation that exploits a collapsed ATP pocket, unlike its trans binding to ABL (Atwell et al., 2004).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Tyrosine phosphorylation</w:t>
      </w:r>
      <w:r>
        <w:br/>
      </w:r>
      <w:r>
        <w:t xml:space="preserve">– Src-family kinases (Lyn/Fyn/Src) phosphorylate receptor ITAMs, recruiting and activating SYK (Tohyama &amp; Yamamura, 2009).</w:t>
      </w:r>
      <w:r>
        <w:br/>
      </w:r>
      <w:r>
        <w:t xml:space="preserve">– Autophosphorylation on Y131 reduces ITAM affinity (Unknown Authors, 2009).</w:t>
      </w:r>
      <w:r>
        <w:br/>
      </w:r>
      <w:r>
        <w:t xml:space="preserve">– Y317 creates a C-Cbl docking site, leading to ubiquitination (Mócsai et al., 2010; Rao et al., 2001).</w:t>
      </w:r>
      <w:r>
        <w:br/>
      </w:r>
      <w:r>
        <w:t xml:space="preserve">– Y342/Y346 recruit VAV1 and PI3K-p85 (Mócsai et al., 2010).</w:t>
      </w:r>
      <w:r>
        <w:br/>
      </w:r>
      <w:r>
        <w:t xml:space="preserve">– Y348/Y352 autophosphorylation stabilises the open state; PKCε limits their phosphorylation in human platelets (Buitrago et al., 2013).</w:t>
      </w:r>
      <w:r>
        <w:br/>
      </w:r>
      <w:r>
        <w:t xml:space="preserve">– Activation-loop Y525/Y526 autophosphorylation completes catalytic activation; SHP-1 (PTPN6) and TULA-2 remove these marks (Buitrago et al., 2013).</w:t>
      </w:r>
      <w:r>
        <w:br/>
      </w:r>
      <w:r>
        <w:t xml:space="preserve">– C-terminal Y624/Y625 fine-tune mast-cell signalling (de Castro et al., 2010).</w:t>
      </w:r>
    </w:p>
    <w:p>
      <w:pPr>
        <w:pStyle w:val="BodyText"/>
      </w:pPr>
      <w:r>
        <w:t xml:space="preserve">Serine phosphorylation</w:t>
      </w:r>
      <w:r>
        <w:br/>
      </w:r>
      <w:r>
        <w:t xml:space="preserve">– PKC phosphorylates S297; PP2A reverses this modification. Sustained S297-P suppresses Y525/Y526 phosphorylation and activity (Makhoul et al., 2020).</w:t>
      </w:r>
    </w:p>
    <w:p>
      <w:pPr>
        <w:pStyle w:val="BodyText"/>
      </w:pPr>
      <w:r>
        <w:t xml:space="preserve">Ubiquitination</w:t>
      </w:r>
      <w:r>
        <w:br/>
      </w:r>
      <w:r>
        <w:t xml:space="preserve">– Active SYK is poly-ubiquitinated by C-Cbl; specific lysine sites remain undetermined (Paolini et al., 2002; Buitrago et al., 2013).</w:t>
      </w:r>
    </w:p>
    <w:p>
      <w:pPr>
        <w:pStyle w:val="BodyText"/>
      </w:pPr>
      <w:r>
        <w:t xml:space="preserve">Allosteric control</w:t>
      </w:r>
      <w:r>
        <w:br/>
      </w:r>
      <w:r>
        <w:t xml:space="preserve">– Activity can be triggered either by SH2-ITAM binding or by phosphorylation of linker tyrosines, providing “OR-gate” regulation between receptor engagement and intracellular priming (Mócsai et al., 2010).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SYK is highly expressed in B cells, early thymocytes, NK cells, mast cells, macrophages, neutrophils, dendritic cells, platelets and osteoclasts, with lower expression in some epithelial and fibroblast tissues (Mócsai et al., 2010; Singh et al., 2012).</w:t>
      </w:r>
      <w:r>
        <w:br/>
      </w:r>
      <w:r>
        <w:t xml:space="preserve">Upstream kinases: Lyn, Fyn, Src (ITAM phosphorylation); PKC and PP2A modulate serine phosphorylation (Tohyama &amp; Yamamura, 2009; Makhoul et al., 2020).</w:t>
      </w:r>
      <w:r>
        <w:br/>
      </w:r>
      <w:r>
        <w:t xml:space="preserve">Major substrates/adaptors include BLNK, PLCγ2, LAT, VAV1, PI3K-p85, DEPTOR and LCP2 (Sada et al., 2001; Mócsai et al., 2010).</w:t>
      </w:r>
      <w:r>
        <w:br/>
      </w:r>
      <w:r>
        <w:t xml:space="preserve">Pathways: central effector in B-cell receptor (BCR), FcεRI/FcγR, platelet GPVI, C-type lectin and integrin outside-in signalling, controlling Ca²⁺ flux, degranulation, phagocytosis, platelet aggregation and cytokine production (Paolini et al., 2002; Tohyama &amp; Yamamura, 2009; Antenucci et al., 2018).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– Imatinib: binds the active site in a unique cis orientation (Atwell et al., 2004).</w:t>
      </w:r>
      <w:r>
        <w:br/>
      </w:r>
      <w:r>
        <w:t xml:space="preserve">– Staurosporine: broad-spectrum ATP-competitive inhibitor (Atwell et al., 2004).</w:t>
      </w:r>
      <w:r>
        <w:br/>
      </w:r>
      <w:r>
        <w:t xml:space="preserve">– Fostamatinib (R788; active metabolite R406): low-nanomolar ATP-competitive inhibitor with clinical activity in B-cell malignancies (Friedberg et al., 2010).</w:t>
      </w:r>
      <w:r>
        <w:br/>
      </w:r>
      <w:r>
        <w:t xml:space="preserve">– 7-Azaindole derivatives (compounds 3–7) achieve low-nanomolar potency in co-crystal structures (Singh et al., 2012).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Oncogenic fusions ITK–SYK (peripheral T-cell lymphoma) and TEL–SYK (myelodysplastic syndrome) drive constitutive signalling (Mócsai et al., 2010). SYK overexpression supports survival of chronic lymphocytic leukaemia and other B-cell cancers (Mócsai et al., 2010). Loss of nuclear SYK correlates with invasive breast cancer and poor prognosis (Mócsai et al., 2010). A gain-of-function variant p.R590Q causes hyper-autophosphorylation, PI3K activation and antibody deficiency with immune dysregulation (Edwards et al., 2025).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Antenucci, L., Hytönen, V., &amp; Ylänne, J. (2018). Phosphorylated immunoreceptor tyrosine-based activation motifs and integrin cytoplasmic domains activate spleen tyrosine kinase via distinct mechanisms. Journal of Biological Chemistry, 293, 4591–4602. https://doi.org/10.1074/jbc.ra117.000660</w:t>
      </w:r>
    </w:p>
    <w:p>
      <w:pPr>
        <w:pStyle w:val="BodyText"/>
      </w:pPr>
      <w:r>
        <w:t xml:space="preserve">Atwell, S., Adams, J. M., Badger, J., Buchanan, M., Feil, I., Froning, K., … Buchanan, S. (2004). A novel mode of Gleevec binding is revealed by the structure of spleen tyrosine kinase. Journal of Biological Chemistry, 279, 55827–55832. https://doi.org/10.1074/jbc.M409792200</w:t>
      </w:r>
    </w:p>
    <w:p>
      <w:pPr>
        <w:pStyle w:val="BodyText"/>
      </w:pPr>
      <w:r>
        <w:t xml:space="preserve">Buitrago, L., Bhavanasi, D., Dangelmaier, C., Manne, B., Badolia, R., Borgognone, A., … Kunapuli, S. (2013). Tyrosine phosphorylation on spleen tyrosine kinase is differentially regulated in human and murine platelets by protein kinase C isoforms. Journal of Biological Chemistry, 288, 29160–29169. https://doi.org/10.1074/jbc.M113.464107</w:t>
      </w:r>
    </w:p>
    <w:p>
      <w:pPr>
        <w:pStyle w:val="BodyText"/>
      </w:pPr>
      <w:r>
        <w:t xml:space="preserve">De Castro, R. O., Zhang, J., Jamur, M., Oliver, C., &amp; Siraganian, R. (2010). Tyrosines in the carboxyl terminus regulate SYK kinase activity and function. Journal of Biological Chemistry, 285, 26674–26684. https://doi.org/10.1074/jbc.M110.134262</w:t>
      </w:r>
    </w:p>
    <w:p>
      <w:pPr>
        <w:pStyle w:val="BodyText"/>
      </w:pPr>
      <w:r>
        <w:t xml:space="preserve">Edwards, E. S. J., Chatelier, J., Snell, G. I., Hun, G., Seo, M., Khang, R., … van Zelm, M. C. (2025). Novel SYK variant causes enhanced SYK autophosphorylation and PI3K activation in an antibody-deficient patient. medRxiv. https://doi.org/10.1101/2025.04.10.25325434</w:t>
      </w:r>
    </w:p>
    <w:p>
      <w:pPr>
        <w:pStyle w:val="BodyText"/>
      </w:pPr>
      <w:r>
        <w:t xml:space="preserve">Friedberg, J., Sharman, J., Sweetenham, J., Johnston, P., Vose, J., LaCasce, A., … Shipp, M. (2010). Inhibition of SYK with fostamatinib disodium has significant clinical activity in non-Hodgkin lymphoma and chronic lymphocytic leukaemia. Blood, 115, 2578–2585. https://doi.org/10.1182/blood-2009-08-236471</w:t>
      </w:r>
    </w:p>
    <w:p>
      <w:pPr>
        <w:pStyle w:val="BodyText"/>
      </w:pPr>
      <w:r>
        <w:t xml:space="preserve">Hobbs, H. T., Shah, N. H., Shoemaker, S. R., Amacher, J. F., Marqusee, S., &amp; Kuriyan, J. (2022). Saturation mutagenesis of a predicted ancestral SYK-family kinase. Protein Science. https://doi.org/10.1002/pro.4411</w:t>
      </w:r>
    </w:p>
    <w:p>
      <w:pPr>
        <w:pStyle w:val="BodyText"/>
      </w:pPr>
      <w:r>
        <w:t xml:space="preserve">Liu, C., Su, P., Li, R., Zhang, Q., Zhu, T., Liu, X., &amp; Li, Q. (2015). Molecular cloning, expression pattern, and molecular evolution of the spleen tyrosine kinase in lamprey, Lampetra japonica. Development Genes and Evolution, 225, 113–120. https://doi.org/10.1007/s00427-015-0492-5</w:t>
      </w:r>
    </w:p>
    <w:p>
      <w:pPr>
        <w:pStyle w:val="BodyText"/>
      </w:pPr>
      <w:r>
        <w:t xml:space="preserve">Makhoul, S., Kumm, E., Zhang, P., Walter, U., &amp; Jurk, K. (2020). The serine/threonine protein phosphatase 2A regulates SYK activity in human platelets. International Journal of Molecular Sciences. https://doi.org/10.3390/ijms21238939</w:t>
      </w:r>
    </w:p>
    <w:p>
      <w:pPr>
        <w:pStyle w:val="BodyText"/>
      </w:pPr>
      <w:r>
        <w:t xml:space="preserve">Mócsai, A., Ruland, J., &amp; Tybulewicz, V. (2010). The SYK tyrosine kinase: a crucial player in diverse biological functions. Nature Reviews Immunology, 10, 387–402. https://doi.org/10.1038/nri2765</w:t>
      </w:r>
    </w:p>
    <w:p>
      <w:pPr>
        <w:pStyle w:val="BodyText"/>
      </w:pPr>
      <w:r>
        <w:t xml:space="preserve">Paolini, R., Molfetta, R., Beitz, L. O., Zhang, J., Scharenberg, A. M., Piccoli, M., … Santoni, A. (2002). Activation of SYK tyrosine kinase is required for C-Cbl-mediated ubiquitination of FcεRI and SYK in RBL cells. Journal of Biological Chemistry, 277, 36940–36947. https://doi.org/10.1074/jbc.M204948200</w:t>
      </w:r>
    </w:p>
    <w:p>
      <w:pPr>
        <w:pStyle w:val="BodyText"/>
      </w:pPr>
      <w:r>
        <w:t xml:space="preserve">Patterson, H. C., Gerbeth, C., Thiru, P., Vögtle, N. F., Knoll, M., Shahsafaei, A., … Lodish, H. F. (2015). A respiratory chain controlled signal transduction cascade in the mitochondrial intermembrane space mediates hydrogen peroxide signaling. Proceedings of the National Academy of Sciences, 112, E5679–E5688. https://doi.org/10.1073/pnas.1517932112</w:t>
      </w:r>
    </w:p>
    <w:p>
      <w:pPr>
        <w:pStyle w:val="BodyText"/>
      </w:pPr>
      <w:r>
        <w:t xml:space="preserve">Rao, N., Ghosh, A., Ota, S., Zhou, P., Reddi, A. L., Hakezi, K., … Band, H. (2001). The non-receptor tyrosine kinase SYK is a target of Cbl-mediated ubiquitylation upon B-cell receptor stimulation. EMBO Journal, 20, 7085–7095. https://doi.org/10.1093/emboj/20.24.7085</w:t>
      </w:r>
    </w:p>
    <w:p>
      <w:pPr>
        <w:pStyle w:val="BodyText"/>
      </w:pPr>
      <w:r>
        <w:t xml:space="preserve">Sada, K., Takano, T., Yanagi, S., &amp; Yamamura, H. (2001). Structure and function of SYK protein-tyrosine kinase. Journal of Biochemistry, 130, 177–186. https://doi.org/10.1093/oxfordjournals.jbchem.a002970</w:t>
      </w:r>
    </w:p>
    <w:p>
      <w:pPr>
        <w:pStyle w:val="BodyText"/>
      </w:pPr>
      <w:r>
        <w:t xml:space="preserve">Singh, R., Masuda, E. S., &amp; Payan, D. G. (2012). Discovery and development of spleen tyrosine kinase inhibitors. Journal of Medicinal Chemistry, 55, 3614–3643. https://doi.org/10.1021/jm201271b</w:t>
      </w:r>
    </w:p>
    <w:p>
      <w:pPr>
        <w:pStyle w:val="BodyText"/>
      </w:pPr>
      <w:r>
        <w:t xml:space="preserve">Tohyama, Y., &amp; Yamamura, H. (2009). Protein tyrosine kinase, SYK: a key player in phagocytic cells. Journal of Biochemistry, 145, 267–273. https://doi.org/10.1093/jb/mvp001</w:t>
      </w:r>
    </w:p>
    <w:p>
      <w:pPr>
        <w:pStyle w:val="BodyText"/>
      </w:pPr>
      <w:r>
        <w:t xml:space="preserve">Unknown Authors. (2009). Autoinhibition and adapter function of SYK. (pages 2–3).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Nature, 629, 1174–1181. https://doi.org/10.1038/s41586-024-07407-y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2025-07-03T19:19:28Z</dcterms:created>
  <dcterms:modified xsi:type="dcterms:W3CDTF">2025-07-03T19:19:28Z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