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MAP2K3 (also called MKK3) has been placed in two different eukaryotic protein-kinase clades: (i) the STE group, STE7 subfamily of dual-specificity MAP2Ks (Bradham et al., 2006; Huang et al., 2024; Yustein et al., 2003), and (ii) the CMGC group, following the classification of Manning et al. (2002) (Cargnello &amp; Roux, 2011; Huang et al., 2024). Deep-branching analyses additionally link the protein to the Tyrosine-kinase-like (TKL) MAP3K family (Huang et al., 2024, 2025).</w:t>
      </w:r>
    </w:p>
    <w:p>
      <w:pPr>
        <w:pStyle w:val="BodyText"/>
      </w:pPr>
      <w:r>
        <w:t xml:space="preserve">Within the MAP2K family three major lineages emerged: MAP2K5, the MAP2K1/2 lineage, and the MAP2K3/4/6/7 lineage; the latter split early in animal evolution (Huang et al., 2024). In vertebrates, MAP2K3 forms a paralog pair with MAP2K6 that diverged from the MAP2K4/7 lineage, losing JNK-activating capacity and specialising in p38 activation (Huang et al., 2024).</w:t>
      </w:r>
    </w:p>
    <w:p>
      <w:pPr>
        <w:pStyle w:val="BodyText"/>
      </w:pPr>
      <w:r>
        <w:t xml:space="preserve">Orthologues are found across metazoans—including sea urchin, Drosophila and Caenorhabditis elegans—and in basal animals such as sponges and ctenophores (Bradham et al., 2006; Cargnello &amp; Roux, 2011; Huang et al., 2024). Although yeasts lack a direct structural homologue, the stress-responsive kinases Rck1/2 act as functional equivalents (Cargnello &amp; Roux,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[p38 MAP kinase] ⇌ ADP + [phospho-p38 MAP kinase]</w:t>
      </w:r>
      <w:r>
        <w:br/>
      </w:r>
      <w:r>
        <w:t xml:space="preserve">(dual phosphorylation of Thr180 and Tyr182 within the p38 activation loop) (Cuenda &amp; Rousseau, 2007; Unknown Authors,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(Unknown Authors, 2020; Roux &amp; Blenis, 2004).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Recognises and phosphorylates the conserved Thr-X-Tyr motif; in p38 MAPKs this is the Thr-Gly-Tyr sequence (Roux &amp; Blenis, 2004; Unknown Authors, 2020).</w:t>
      </w:r>
      <w:r>
        <w:br/>
      </w:r>
      <w:r>
        <w:t xml:space="preserve">• Efficiently activates p38α, p38γ and p38δ, but not p38β; some reports note a preference for p38α and p38δ (Raman et al., 2007; Roux &amp; Blenis, 2004; Unknown Authors, 2020).</w:t>
      </w:r>
      <w:r>
        <w:br/>
      </w:r>
      <w:r>
        <w:t xml:space="preserve">• Specificity is governed by formation of protein complexes and precise recognition of the substrate activation loop (Roux &amp; Blenis, 2004).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MAP2K3 contains three regions: an N-terminal docking (DVD) domain, a central bilobal kinase domain and a C-terminal tail (Unknown Authors, 2020).</w:t>
      </w:r>
      <w:r>
        <w:br/>
      </w:r>
      <w:r>
        <w:t xml:space="preserve">Key catalytic features include:</w:t>
      </w:r>
      <w:r>
        <w:br/>
      </w:r>
      <w:r>
        <w:t xml:space="preserve">– Glycine-rich loop (GxGxxG) and C-helix for ATP/substrate alignment.</w:t>
      </w:r>
      <w:r>
        <w:br/>
      </w:r>
      <w:r>
        <w:t xml:space="preserve">– Catalytic lysines K64 and K163.</w:t>
      </w:r>
      <w:r>
        <w:br/>
      </w:r>
      <w:r>
        <w:t xml:space="preserve">– Conserved HRD, APE and DFG motifs; the DFG Asp positions the γ-phosphate.</w:t>
      </w:r>
      <w:r>
        <w:br/>
      </w:r>
      <w:r>
        <w:t xml:space="preserve">– An activation loop whose phosphorylation produces an open, active conformation (Unknown Authors,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occurs via phosphorylation of the MAP2K3 activation loop by upstream MAP3Ks MLK3, ASK1, MEKK3/4, TAO1/2 and TAK1 (Unknown Authors, 2020). Reported activating sites differ between S189/T193 and S218/T222 (Unknown Authors, 2020). Truncated MEK3 variants are rapidly degraded in a proteasome-dependent, ubiquitin-independent manner. Pathway down-regulation involves phosphatases and microRNAs acting on p38 or upstream components (Unknown Authors,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expressed; highest levels are seen in skeletal muscle, heart and kidney (Roux &amp; Blenis, 2004; Unknown Authors, 2020). Environmental stresses (UV, osmotic shock) and inflammatory cytokines trigger MAP2K3 activation, leading to phosphorylation of p38α/γ/δ MAPKs (Bradham et al., 2006; Cuenda &amp; Rousseau, 2007; Unknown Authors, 2020). The resulting signalling regulates differentiation, survival/apoptosis, metabolism, migration and cell-cycle progression (Unknown Authors, 2020). Scaffold proteins JIP2/JIP4 promote selective p38 docking, whereas OSM organises MEKK3–MEK3–p38 complexes during osmotic stress responses (Raman et al., 2007; Unknown Authors,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 small-molecule inhibitors of the MKK3/6 subfamily have been developed and show experimental anticancer potential (Unknown Authors,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MAP2K3–p38 signalling is implicated in autoimmune and inflammatory disorders (Cuenda &amp; Rousseau, 2007). Over-expression of MAP2K3 accompanies mutant p53 in breast and colon cancers, supporting mutant p53 oncogenic functions (Gurtner et al., 2010). Loss-of-function MAP2K3 mutations identified in acute lymphocytic leukaemia accelerate proteasomal degradation, abolish p38 activation and elevate HIF-1α and CITED-2, thereby enhancing proliferation (Unknown Authors,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Bradham, C. A., Foltz, K. R., Beane, W. S., Arnone, M. I., Rizzo, F., Coffman, J. A., … Manning, G. (2006). The sea urchin kinome: A first look. Developmental Biology, 300, 180–193. https://doi.org/10.1016/j.ydbio.2006.08.074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Cuenda, A., &amp; Rousseau, S. (2007). p38 MAP-kinases pathway regulation, function and role in human diseases. Biochimica et Biophysica Acta (BBA) – Molecular Cell Research, 1773, 1358–1375. https://doi.org/10.1016/j.bbamcr.2007.03.010</w:t>
      </w:r>
    </w:p>
    <w:p>
      <w:pPr>
        <w:pStyle w:val="BodyText"/>
      </w:pPr>
      <w:r>
        <w:t xml:space="preserve">Gurtner, A., Starace, G., Norelli, G., Piaggio, G., Sacchi, A., &amp; Bossi, G. (2010). Mutant p53-induced up-regulation of mitogen-activated protein kinase kinase 3 contributes to gain of function. Journal of Biological Chemistry, 285, 14160–14169. https://doi.org/10.1074/jbc.M109.094813</w:t>
      </w:r>
    </w:p>
    <w:p>
      <w:pPr>
        <w:pStyle w:val="BodyText"/>
      </w:pPr>
      <w:r>
        <w:t xml:space="preserve">Huang, E. J., Parksong, J., Peterson, A. F., Torres, F., Regot, S., &amp; Bever, G. S. (2024). Reconstructing the deep phylogeny of the MAPK signalling network: Functional specialization via multi-tier coevolutionary expansion. bioRxiv. https://doi.org/10.1101/2024.10.01.616093</w:t>
      </w:r>
    </w:p>
    <w:p>
      <w:pPr>
        <w:pStyle w:val="BodyText"/>
      </w:pPr>
      <w:r>
        <w:t xml:space="preserve">Huang, E. J., Parksong, J., Peterson, A. F., Torres, F., Regot, S., &amp; Bever, G. S. (2025). Refined phylogenetic ortholog inference reveals coevolutionary expansion of the MAPK signalling network through fine-tuning of pathway specificity. Journal of Molecular Evolution. https://doi.org/10.1007/s00239-025-10254-8</w:t>
      </w:r>
    </w:p>
    <w:p>
      <w:pPr>
        <w:pStyle w:val="BodyText"/>
      </w:pPr>
      <w:r>
        <w:t xml:space="preserve">Raman, M., Chen, W., &amp; Cobb, M. (2007). Differential regulation and properties of MAPKs. Oncogene, 26, 3100–3112. https://doi.org/10.1038/sj.onc.1210392</w:t>
      </w:r>
    </w:p>
    <w:p>
      <w:pPr>
        <w:pStyle w:val="BodyText"/>
      </w:pPr>
      <w:r>
        <w:t xml:space="preserve">Roux, P. P., &amp; Blenis, J. (2004). ERK and p38 MAPK-activated protein kinases: A family of protein kinases with diverse biological functions. Microbiology and Molecular Biology Reviews, 68, 320–344. https://doi.org/10.1128/MMBR.68.2.320-344.2004</w:t>
      </w:r>
    </w:p>
    <w:p>
      <w:pPr>
        <w:pStyle w:val="BodyText"/>
      </w:pPr>
      <w:r>
        <w:t xml:space="preserve">Unknown Authors. (2020). A role for MEK3 in the oncogenesis of acute lymphocytic leukemia: Inactivation of MAPK p38 promotes cell proliferation through enhanced degradation of mutant … [Preprint/Article].</w:t>
      </w:r>
    </w:p>
    <w:p>
      <w:pPr>
        <w:pStyle w:val="BodyText"/>
      </w:pPr>
      <w:r>
        <w:t xml:space="preserve">Yustein, J., Xia, L., Kahlenburg, J. M., Robinson, D., Templeton, D., &amp; Kung, H. (2003). Comparative studies of a new subfamily of human Ste20-like kinases: Homodimerization, subcellular localization, and selective activation of MKK3 and p38. Oncogene, 22, 6129–6141. https://doi.org/10.1038/sj.onc.1206605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2025-07-03T22:41:39Z</dcterms:created>
  <dcterms:modified xsi:type="dcterms:W3CDTF">2025-07-03T22:41:39Z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