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PIK3CG encodes p110γ, the single catalytic subunit of class IB phosphoinositide-3-kinases within the PI3K branch of the human kinome (Wymann et al., 2003). The p110γ kinase domain shares ~35 % sequence identity with the class IA isoform p110β, underscoring close evolutionary relatedness across class I PI3Ks (Nürnberg &amp; Beer-Hammer, 2019). Orthologues are present in Mus musculus, Rattus norvegicus, Danio rerio, Drosophila melanogaster and Caenorhabditis elegans, reflecting conservation from vertebrates to invertebrates (Lanahan et al., 2022; Wymann et al., 2003).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PI(4,5)P₂ ⇌ ADP + PI(3,4,5)P₃ + H⁺ (Nürnberg &amp; Beer-Hammer, 2019; Lanahan et al., 2022).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required for catalysis (Nürnberg &amp; Beer-Hammer, 2019).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Primary substrate: phosphatidylinositol-4,5-bisphosphate in the inner leaflet of the plasma membrane (Nürnberg &amp; Beer-Hammer, 2019).</w:t>
      </w:r>
      <w:r>
        <w:br/>
      </w:r>
      <w:r>
        <w:t xml:space="preserve">• Intrinsic protein-kinase activity is weak; no reproducible sequence motif has been identified for protein substrates (Nürnberg &amp; Beer-Hammer, 2019).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Full-length p110γ (1–1102 aa) comprises five ordered modules (Nürnberg &amp; Beer-Hammer, 2019; Gu et al., 2024):</w:t>
      </w:r>
      <w:r>
        <w:br/>
      </w:r>
      <w:r>
        <w:t xml:space="preserve">1. ABD-like region (1–108) – lacks p85 binding.</w:t>
      </w:r>
      <w:r>
        <w:br/>
      </w:r>
      <w:r>
        <w:t xml:space="preserve">2. Ras-binding domain (220–311) – interacts with Ras-GTP (Gu et al., 2024).</w:t>
      </w:r>
      <w:r>
        <w:br/>
      </w:r>
      <w:r>
        <w:t xml:space="preserve">3. C2 domain (312–480) – contributes to membrane association.</w:t>
      </w:r>
      <w:r>
        <w:br/>
      </w:r>
      <w:r>
        <w:t xml:space="preserve">4. Helical domain (481–685) – platform for adaptor and Gβγ contacts; contains regulatory Ser502/Ser582 (Nürnberg &amp; Beer-Hammer, 2019).</w:t>
      </w:r>
      <w:r>
        <w:br/>
      </w:r>
      <w:r>
        <w:t xml:space="preserve">5. Bilobal kinase domain (686–1102) – houses ATP pocket, αC helix and activation loop (Qiu et al., 2019).</w:t>
      </w:r>
    </w:p>
    <w:p>
      <w:pPr>
        <w:pStyle w:val="BodyText"/>
      </w:pPr>
      <w:r>
        <w:t xml:space="preserve">Catalytic pocket residues Lys833, Tyr867 and Val882 line the adenine site, while Glu814, Gly829 and Ala885 create an isoform-specific semi-hydrophobic cleft exploited by selective inhibitors (Qiu et al., 2019). Active-state crystal structures of human p110γ–p101 complexes (PDB 6AUD, 6XRM) show outward rotation of helix kα12 that generates a membrane-interactive surface (Gu et al., 2024; Gangadhara et al., 2019). Adaptor interfaces: p101/p84 bind the RBD–C2 linker and helical domain; a basic 552-RK motif in the C2–helical linker contacts Gβγ (Vadas et al., 2013). Ras-GTP bridges the RBD and kinase C-lobe via eleven RBD residues (Unknown Authors, 2022).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 modifications</w:t>
      </w:r>
      <w:r>
        <w:br/>
      </w:r>
      <w:r>
        <w:t xml:space="preserve">• Ser502 and Ser582 (helical domain) are phosphorylated by PKCβ; Ser582 phosphorylation doubles lipid-kinase activity and releases p84, whereas Ser502 phosphorylation weakens p87 binding (Nürnberg &amp; Beer-Hammer, 2019; Walser et al., 2013).</w:t>
      </w:r>
      <w:r>
        <w:br/>
      </w:r>
      <w:r>
        <w:t xml:space="preserve">• Thr1024 is phosphorylated by PKA, providing negative feedback in β-adrenergic signalling (Walser et al., 2013).</w:t>
      </w:r>
      <w:r>
        <w:br/>
      </w:r>
      <w:r>
        <w:t xml:space="preserve">• Ser1101 undergoes autophosphorylation with minimal catalytic effect (Nürnberg &amp; Beer-Hammer, 2019).</w:t>
      </w:r>
    </w:p>
    <w:p>
      <w:pPr>
        <w:pStyle w:val="BodyText"/>
      </w:pPr>
      <w:r>
        <w:t xml:space="preserve">Allosteric control</w:t>
      </w:r>
      <w:r>
        <w:br/>
      </w:r>
      <w:r>
        <w:t xml:space="preserve">• Gβγ dimers engage the helical domain and regulatory subunits; p101 confers high-affinity, p87 weaker stimulation (Nürnberg &amp; Beer-Hammer, 2019).</w:t>
      </w:r>
      <w:r>
        <w:br/>
      </w:r>
      <w:r>
        <w:t xml:space="preserve">• Ras-GTP binding to the RBD synergises with Gβγ to enhance membrane recruitment and turnover (Unknown Authors, 2022).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</w:t>
      </w:r>
      <w:r>
        <w:br/>
      </w:r>
      <w:r>
        <w:t xml:space="preserve">Highly expressed in leukocytes (neutrophils, macrophages, dendritic cells, mast cells, T and B lymphocytes) and present in cardiomyocytes, endothelial cells, CNS, kidney, pancreas and prostate (Lanahan et al., 2022; Nürnberg &amp; Beer-Hammer, 2019).</w:t>
      </w:r>
    </w:p>
    <w:p>
      <w:pPr>
        <w:pStyle w:val="BodyText"/>
      </w:pPr>
      <w:r>
        <w:t xml:space="preserve">Upstream regulators</w:t>
      </w:r>
      <w:r>
        <w:br/>
      </w:r>
      <w:r>
        <w:t xml:space="preserve">GPCR agonists via Gβγ, small GTPases Ras and Rab8a, and TLR/cytokine receptors through p101 (Lanahan et al., 2022; Nürnberg &amp; Beer-Hammer, 2019).</w:t>
      </w:r>
    </w:p>
    <w:p>
      <w:pPr>
        <w:pStyle w:val="BodyText"/>
      </w:pPr>
      <w:r>
        <w:t xml:space="preserve">Downstream effectors</w:t>
      </w:r>
      <w:r>
        <w:br/>
      </w:r>
      <w:r>
        <w:t xml:space="preserve">PIP₃ produced by p110γ recruits AKT, PDPK1 and mTOR components; the kinase also forms complexes with PDE3B/PDE4B, PKA regulatory subunits, GRK2 and β-arrestins (Nürnberg &amp; Beer-Hammer, 2019).</w:t>
      </w:r>
    </w:p>
    <w:p>
      <w:pPr>
        <w:pStyle w:val="BodyText"/>
      </w:pPr>
      <w:r>
        <w:t xml:space="preserve">Physiological roles</w:t>
      </w:r>
      <w:r>
        <w:br/>
      </w:r>
      <w:r>
        <w:t xml:space="preserve">• Directs chemotaxis of neutrophils, dendritic cells, NK cells and T-lymphocytes.</w:t>
      </w:r>
      <w:r>
        <w:br/>
      </w:r>
      <w:r>
        <w:t xml:space="preserve">• Controls ROS production in neutrophils and mast-cell degranulation.</w:t>
      </w:r>
      <w:r>
        <w:br/>
      </w:r>
      <w:r>
        <w:t xml:space="preserve">• Reprogrammes tumour-associated macrophages to enhance immunotherapy.</w:t>
      </w:r>
      <w:r>
        <w:br/>
      </w:r>
      <w:r>
        <w:t xml:space="preserve">• Modulates cardiac β-adrenergic signalling and vascular tone.</w:t>
      </w:r>
      <w:r>
        <w:br/>
      </w:r>
      <w:r>
        <w:t xml:space="preserve">• Regulates nociception and synaptic plasticity via cAMP compartmentalisation (Lanahan et al., 2022; Gu et al., 2024; Nürnberg &amp; Beer-Hammer, 2019).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Pan-PI3K inhibitors: wortmannin, LY294002 (Nürnberg &amp; Beer-Hammer, 2019).</w:t>
      </w:r>
      <w:r>
        <w:br/>
      </w:r>
      <w:r>
        <w:t xml:space="preserve">PI3Kγ-selective: AS-605240 (IC₅₀ 8 nM), CZC24832 (K_d 19 nM) (Qiu et al., 2019; Bergamini et al., 2012).</w:t>
      </w:r>
      <w:r>
        <w:br/>
      </w:r>
      <w:r>
        <w:t xml:space="preserve">Clinical-stage: IPI-549 (Eganelisib; IC₅₀ 16 nM, &gt;200-fold selectivity) (Evans et al., 2016).</w:t>
      </w:r>
      <w:r>
        <w:br/>
      </w:r>
      <w:r>
        <w:t xml:space="preserve">Dual PI3Kδ/γ: TG100-115 (Unknown Authors, 2011).</w:t>
      </w:r>
      <w:r>
        <w:br/>
      </w:r>
      <w:r>
        <w:t xml:space="preserve">Active-state binders targeting kα12 displacement: AZ2, AZ3 (Gangadhara et al., 2019).</w:t>
      </w:r>
      <w:r>
        <w:br/>
      </w:r>
      <w:r>
        <w:t xml:space="preserve">Additional isoform-selective series include N-alkyl isoindolinones, thiazolopiperidines and 7-azaindoles (Gu et al., 2024).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Bi-allelic loss-of-function mutations cause inactivated PI3K-γ syndrome with antibody deficiency, cytopenias, pneumonitis and colitis (Takeda et al., 2019). Over-expression of p101 is oncogenic, whereas phosphorylated p87 may act as a tumour suppressor (Nürnberg &amp; Beer-Hammer, 2019). RBD mutation Val282Ala disrupts Ras binding and is linked to chronic infection phenotypes (Nürnberg &amp; Beer-Hammer, 2019). Aberrant PI3Kγ signalling contributes to hypertension, atherosclerosis, pancreatic and prostate cancers, and heart-failure pathology (Lanahan et al., 2022; Nürnberg &amp; Beer-Hammer, 2019).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Bergamini, G., Bell, K., Shimamura, S., Werner, T., Cansfield, A., Müller, K., … Neubauer, G. (2012). A selective inhibitor reveals PI3Kγ dependence of TH17 cell differentiation. Nature Chemical Biology, 8(6), 576-582. https://doi.org/10.1038/nchembio.957</w:t>
      </w:r>
    </w:p>
    <w:p>
      <w:pPr>
        <w:pStyle w:val="BodyText"/>
      </w:pPr>
      <w:r>
        <w:t xml:space="preserve">Evans, C. A., Liu, T., Lescarbeau, A., Nair, S. J., Grenier, L., Pradeilles, J. A., … Castro, A. C. (2016). Discovery of a selective phosphoinositide-3-kinase-γ inhibitor (IPI-549) as an immuno-oncology clinical candidate. ACS Medicinal Chemistry Letters, 7(9), 862-867. https://doi.org/10.1021/acsmedchemlett.6b00238</w:t>
      </w:r>
    </w:p>
    <w:p>
      <w:pPr>
        <w:pStyle w:val="BodyText"/>
      </w:pPr>
      <w:r>
        <w:t xml:space="preserve">Gangadhara, G., Dahl, G., Bohnacker, T., Rae, R., Gunnarsson, J., Blaho, S., … Petersen, J. (2019). A class of highly selective inhibitors bind to an active state of PI3Kγ. Nature Chemical Biology, 15(4), 348-357. https://doi.org/10.1038/s41589-018-0215-0</w:t>
      </w:r>
    </w:p>
    <w:p>
      <w:pPr>
        <w:pStyle w:val="BodyText"/>
      </w:pPr>
      <w:r>
        <w:t xml:space="preserve">Gu, D.-y., Zhang, M.-m., Li, J., Zhou, Y.-b., &amp; Sheng, R. (2024). Development of PI3Kγ selective inhibitors: The strategies and application. Acta Pharmacologica Sinica, 45, 238-247. https://doi.org/10.1038/s41401-023-01166-8</w:t>
      </w:r>
    </w:p>
    <w:p>
      <w:pPr>
        <w:pStyle w:val="BodyText"/>
      </w:pPr>
      <w:r>
        <w:t xml:space="preserve">Lanahan, S. M., Wymann, M. P., &amp; Lucas, C. L. (2022). The role of PI3Kγ in the immune system: New insights and translational implications. Nature Reviews Immunology, 22, 687-700. https://doi.org/10.1038/s41577-022-00701-8</w:t>
      </w:r>
    </w:p>
    <w:p>
      <w:pPr>
        <w:pStyle w:val="BodyText"/>
      </w:pPr>
      <w:r>
        <w:t xml:space="preserve">Nürnberg, B., &amp; Beer-Hammer, S. (2019). Function, regulation and biological roles of PI3Kγ variants. Biomolecules, 9(9), 427. https://doi.org/10.3390/biom9090427</w:t>
      </w:r>
    </w:p>
    <w:p>
      <w:pPr>
        <w:pStyle w:val="BodyText"/>
      </w:pPr>
      <w:r>
        <w:t xml:space="preserve">Qiu, X., Tian, Y., Liang, Z., Sun, Y., Li, Z., &amp; Bian, J. (2019). Recent discovery of phosphoinositide 3-kinase γ inhibitors for the treatment of immune diseases and cancers. Future Medicinal Chemistry, 11(16), 2151-2169. https://doi.org/10.4155/fmc-2019-0010</w:t>
      </w:r>
    </w:p>
    <w:p>
      <w:pPr>
        <w:pStyle w:val="BodyText"/>
      </w:pPr>
      <w:r>
        <w:t xml:space="preserve">Takeda, A. J., Maher, T. J., Zhang, Y., Lanahan, S. M., Bucklin, M. L., Compton, S. R., … Lucas, C. L. (2019). Human PI3Kγ deficiency and its microbiota-dependent mouse model reveal immunodeficiency and tissue immunopathology. Nature Communications, 10, 4364. https://doi.org/10.1038/s41467-019-12311-5</w:t>
      </w:r>
    </w:p>
    <w:p>
      <w:pPr>
        <w:pStyle w:val="BodyText"/>
      </w:pPr>
      <w:r>
        <w:t xml:space="preserve">Unknown Authors. (2011). Discovery and development of dual PI3Kδ/γ inhibitors for use as novel anti-inflammatory agents.</w:t>
      </w:r>
    </w:p>
    <w:p>
      <w:pPr>
        <w:pStyle w:val="BodyText"/>
      </w:pPr>
      <w:r>
        <w:t xml:space="preserve">Unknown Authors. (2022). Characterization of RAS interactions with PI3K.</w:t>
      </w:r>
    </w:p>
    <w:p>
      <w:pPr>
        <w:pStyle w:val="BodyText"/>
      </w:pPr>
      <w:r>
        <w:t xml:space="preserve">Vadas, O., Dbouk, H. A., Shymanets, A., Perisic, O., Burke, J. E., Abi Saab, W. F., … Williams, R. L. (2013). Molecular determinants of PI3Kγ-mediated activation downstream of G-protein–coupled receptors. Proceedings of the National Academy of Sciences, 110(47), 18862-18867. https://doi.org/10.1073/pnas.1304801110</w:t>
      </w:r>
    </w:p>
    <w:p>
      <w:pPr>
        <w:pStyle w:val="BodyText"/>
      </w:pPr>
      <w:r>
        <w:t xml:space="preserve">Walser, R., Burke, J. E., Gogvadze, E., Bohnacker, T., Zhang, X., Hess, D., … Wymann, M. P. (2013). PKCβ phosphorylates PI3Kγ to activate it and release it from GPCR control. PLoS Biology, 11(6), e1001587. https://doi.org/10.1371/journal.pbio.1001587</w:t>
      </w:r>
    </w:p>
    <w:p>
      <w:pPr>
        <w:pStyle w:val="BodyText"/>
      </w:pPr>
      <w:r>
        <w:t xml:space="preserve">Wymann, M. P., Zvelebil, M., &amp; Laffargue, M. (2003). Phosphoinositide 3-kinase signalling – which way to target? Trends in Pharmacological Sciences, 24(7), 366-376. https://doi.org/10.1016/S0165-6147(03)00163-9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2025-07-03T21:52:22Z</dcterms:created>
  <dcterms:modified xsi:type="dcterms:W3CDTF">2025-07-03T21:52:22Z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