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Highly conserved serine/threonine kinase with clear orthologs in Homo sapiens (MAPKAPK2), Mus musculus (Mapkapk2), Rattus norvegicus, Danio rerio and invertebrates such as Drosophila melanogaster and Caenorhabditis elegans (~60 % identity) (Cargnello &amp; Roux, 2011; Roux &amp; Blenis, 2004). Yeasts encode functional analogues (Rck1/Rck2 in Saccharomyces cerevisiae, Srk1/Mkp2 in Schizosaccharomyces pombe) that act downstream of p38-like modules but are not direct orthologs (Cargnello &amp; Roux, 2011). Within the human kinome, MAPKAPK2 clusters with MAPKAPK3 (75 % identity) inside the MAPK-activated protein-kinase sub-family on the CaMK-like branch (Roux &amp; Blenis, 2004; Cargnello &amp; Roux, 2011).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→ ADP + [protein]-O-phospho-Ser/Thr (Fiore, Forli, &amp; Manetti, 2016).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(standard assay 25 mM MgCl₂); Mn²⁺ can substitute with retained activity (Powell et al., 2003; Fiore et al., 2016).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Preferred consensus Φ-X-Arg-X₂-Ser/Thr (Φ = large hydrophobic) (Johnson et al., 2023). Verified cellular substrates include HSP27/HSPB1, TTP/ZFP36, LIMK1, LSP1, CDC25B/C, ALOX5 and ELAVL1 (Schindler, Monahan, &amp; Smith, 2007; Fiore et al., 2016).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Isoform 1 (400 aa) contains:</w:t>
      </w:r>
      <w:r>
        <w:br/>
      </w:r>
      <w:r>
        <w:t xml:space="preserve">• Proline-rich SH3 segment (aa 10–40)</w:t>
      </w:r>
      <w:r>
        <w:br/>
      </w:r>
      <w:r>
        <w:t xml:space="preserve">• Bilobal kinase core (aa 64–325) with Met138 gatekeeper creating a narrow ATP pocket</w:t>
      </w:r>
      <w:r>
        <w:br/>
      </w:r>
      <w:r>
        <w:t xml:space="preserve">• Autoinhibitory α-helix (aa 328–364) that occludes the active site</w:t>
      </w:r>
      <w:r>
        <w:br/>
      </w:r>
      <w:r>
        <w:t xml:space="preserve">• Nuclear export signal (aa 356–365)</w:t>
      </w:r>
      <w:r>
        <w:br/>
      </w:r>
      <w:r>
        <w:t xml:space="preserve">• High-affinity p38 docking site (aa 366–390) with overlapping bipartite NLS (aa 371–374 &amp; 385–389) (Fiore et al., 2016; Singh, Najmi, &amp; Dastidar, 2017)</w:t>
      </w:r>
    </w:p>
    <w:p>
      <w:pPr>
        <w:pStyle w:val="BodyText"/>
      </w:pPr>
      <w:r>
        <w:t xml:space="preserve">Representative PDB entries: apo 1KWP; ADP/staurosporine-bound 1NY3, 1NXK; phosphomimetic active 3KA0; p38α–MK2 heterodimers 2OZA, 2ONL (Fiore et al., 2016). Activation involves completion of the hydrophobic spine and αC-helix rotation; phosphorylation displaces the autoinhibitory helix, exposing the catalytic cleft and NLS (Fiore et al.,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Activated by p38α/MAPK14 phosphorylation on Thr222, Ser272 (activation loop) and Thr334 (C-terminus), which also unmasks the NES (Singh et al., 2017; Roux &amp; Blenis, 2004).</w:t>
      </w:r>
      <w:r>
        <w:br/>
      </w:r>
      <w:r>
        <w:t xml:space="preserve">• Autophosphorylation on Ser9, Thr25 and Ser328 (Fiore et al., 2016).</w:t>
      </w:r>
      <w:r>
        <w:br/>
      </w:r>
      <w:r>
        <w:t xml:space="preserve">• SUMOylation of Lys353 by PIAS1 suppresses activity; K353R mutation abrogates inhibition (Fiore et al., 2016).</w:t>
      </w:r>
      <w:r>
        <w:br/>
      </w:r>
      <w:r>
        <w:t xml:space="preserve">• Tight p38 docking via residues 370–400 (K_d ≈ 20 nM) is essential for efficient activation (Fiore et al., 2016).</w:t>
      </w:r>
      <w:r>
        <w:br/>
      </w:r>
      <w:r>
        <w:t xml:space="preserve">• Catalysis is lost in Lys93→Arg or Asp207→Ala mutants; Thr222E/Thr334E phosphomimetics confer constitutive activity (Fiore et al., 2016).</w:t>
      </w:r>
      <w:r>
        <w:br/>
      </w:r>
      <w:r>
        <w:t xml:space="preserve">• No ubiquitination reported to date.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heart, skeletal muscle and kidney; present in immune and stromal cells (Roux &amp; Blenis, 2004). Activated stress pathway: stress → MKK3/6 → p38α → MK2 (Singh et al., 2017). Principal roles:</w:t>
      </w:r>
      <w:r>
        <w:br/>
      </w:r>
      <w:r>
        <w:t xml:space="preserve">– Actin cytoskeleton remodelling and cell migration via HSP27 phosphorylation (Schindler et al., 2007).</w:t>
      </w:r>
      <w:r>
        <w:br/>
      </w:r>
      <w:r>
        <w:t xml:space="preserve">– Post-transcriptional regulation of inflammatory cytokines through phosphorylation of TTP/ZFP36 and ELAVL1 (Soni, Anand, &amp; Padwad, 2019).</w:t>
      </w:r>
      <w:r>
        <w:br/>
      </w:r>
      <w:r>
        <w:t xml:space="preserve">– Cell-cycle and DNA-damage checkpoints via CDC25B/C and LIMK1 (Fiore et al., 2016).</w:t>
      </w:r>
      <w:r>
        <w:br/>
      </w:r>
      <w:r>
        <w:t xml:space="preserve">– Identified as a driver kinase in murine colitis models (Strasser et al., 2019).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type I: staurosporine (co-crystal 1NY3); PF-3644022 (IC₅₀ ≈ 5 nM enzymatic, ~150 nM cellular) suppresses TNF-α release in vivo (Fiore et al., 2016). Indirect inhibition: p38α blocker SB203580 prevents MK2 activation (Schindler et al., 2007).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Mapkapk2-knockout mice exhibit reduced TNF-α/IL-6 production and resistance to endotoxic shock (Schindler et al., 2007). Persistent MK2 activity stabilises oncogenic transcripts and promotes tumour progression (Soni et al., 2019). Hyperactivation of the p38/MK2 axis contributes to inflammatory bowel disease pathology (Strasser et al., 2019).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Cargnello, M., &amp; Roux, P. P. (2011). Activation and function of the MAPKs and their substrates, the MAPK-activated protein kinases. Microbiology and Molecular Biology Reviews, 75, 50–83. https://doi.org/10.1128/MMBR.00031-10</w:t>
      </w:r>
    </w:p>
    <w:p>
      <w:pPr>
        <w:pStyle w:val="BodyText"/>
      </w:pPr>
      <w:r>
        <w:t xml:space="preserve">Fiore, M., Forli, S., &amp; Manetti, F. (2016). Targeting mitogen-activated protein kinase-activated protein kinase 2 (MAPKAPK2, MK2): Medicinal chemistry efforts to lead small-molecule inhibitors to clinical trials. Journal of Medicinal Chemistry, 59(8), 3609–3634. https://doi.org/10.1021/acs.jmedchem.5b01457</w:t>
      </w:r>
    </w:p>
    <w:p>
      <w:pPr>
        <w:pStyle w:val="BodyText"/>
      </w:pPr>
      <w:r>
        <w:t xml:space="preserve">Johnson, J. L., Yaron, T. M., Huntsman, E. M., et al. 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Powell, D. W., Rane, M. J., Joughin, B. A., et al. (2003). Proteomic identification of 14-3-3ζ as a mitogen-activated protein kinase-activated protein kinase 2 substrate: Role in dimer formation and ligand binding. Molecular and Cellular Biology, 23, 5376–5387. https://doi.org/10.1128/MCB.23.15.5376-5387.2003</w:t>
      </w:r>
    </w:p>
    <w:p>
      <w:pPr>
        <w:pStyle w:val="BodyText"/>
      </w:pPr>
      <w:r>
        <w:t xml:space="preserve">Roux, P. P., &amp; Blenis, J. (2004). ERK and p38 MAPK-activated protein kinases: A family of protein kinases with diverse biological functions. Microbiology and Molecular Biology Reviews, 68, 320–344. https://doi.org/10.1128/MMBR.68.2.320-344.2004</w:t>
      </w:r>
    </w:p>
    <w:p>
      <w:pPr>
        <w:pStyle w:val="BodyText"/>
      </w:pPr>
      <w:r>
        <w:t xml:space="preserve">Schindler, J. F., Monahan, J. B., &amp; Smith, W. G. (2007). p38 pathway kinases as anti-inflammatory drug targets. Journal of Dental Research, 86, 800–811. https://doi.org/10.1177/154405910708600902</w:t>
      </w:r>
    </w:p>
    <w:p>
      <w:pPr>
        <w:pStyle w:val="BodyText"/>
      </w:pPr>
      <w:r>
        <w:t xml:space="preserve">Singh, R., Najmi, A., &amp; Dastidar, S. (2017). Biological functions and role of mitogen-activated protein kinase activated protein kinase 2 (MK2) in inflammatory diseases. Pharmacological Reports, 69, 746–756. https://doi.org/10.1016/j.pharep.2017.03.023</w:t>
      </w:r>
    </w:p>
    <w:p>
      <w:pPr>
        <w:pStyle w:val="BodyText"/>
      </w:pPr>
      <w:r>
        <w:t xml:space="preserve">Soni, S., Anand, P., &amp; Padwad, Y. S. (2019). MAPKAPK2: The master regulator of RNA-binding proteins modulates transcript stability and tumour progression. Journal of Experimental &amp; Clinical Cancer Research. https://doi.org/10.1186/s13046-019-1115-1</w:t>
      </w:r>
    </w:p>
    <w:p>
      <w:pPr>
        <w:pStyle w:val="BodyText"/>
      </w:pPr>
      <w:r>
        <w:t xml:space="preserve">Strasser, S. D., Ghazi, P. C., Starchenko, A., et al. (2019). Substrate-based kinase activity inference identifies MK2 as driver of colitis. Integrative Biology. https://doi.org/10.1093/intbio/zyz025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2025-07-03T22:52:40Z</dcterms:created>
  <dcterms:modified xsi:type="dcterms:W3CDTF">2025-07-03T22:52:40Z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