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CLK2 belongs to the CMGC group, CDC-like kinase (CLK) sub-family of the human kinome (Song et al., 2023). It shares 67–87 % sequence identity with its human paralogues CLK1, CLK3 and CLK4 (Lindberg &amp; Meijer, 2021). Canonical orthologues are conserved from mouse (98 % identity in the kinase domain) through vertebrates and invertebrates to plants and yeast (Ogle et al., 2024). Structure-based trees place CLK2 closest to casein kinase 2, reflecting marked fold similarity despite low sequence identity (Lee et al., 2019).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[protein]-Ser/Thr/Tyr ⇌ ADP + [protein]-O-phospho-Ser/Thr/Tyr (Moyano et al., 2020; Lee et al., 2019).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required for ATP-dependent catalysis (Song et al., 2023).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Prefers the linear motif R-x-x-S/T within arginine/serine-rich (RS) regions (Song et al., 2023).</w:t>
      </w:r>
      <w:r>
        <w:br/>
      </w:r>
      <w:r>
        <w:t xml:space="preserve">• Cellular substrates include SR proteins (SRSF1-12, SRSF3), PTPN1, PPP2R5B, PPARGC1A, PAGE4 and F3 pre-mRNA (Song et al., 2023).</w:t>
      </w:r>
      <w:r>
        <w:br/>
      </w:r>
      <w:r>
        <w:t xml:space="preserve">• The enzyme autophosphorylates on an activation-loop Tyr, demonstrating intrinsic dual Ser/Thr/Tyr specificity (Lindberg &amp; Meijer, 2021).</w:t>
      </w:r>
    </w:p>
    <w:p>
      <w:pPr>
        <w:pStyle w:val="BodyText"/>
      </w:pPr>
      <w:r>
        <w:t xml:space="preserve">Structure</w:t>
      </w:r>
      <w:r>
        <w:br/>
      </w:r>
      <w:r>
        <w:t xml:space="preserve">N-terminal disordered RS region (~1–120) followed by a bilobal kinase domain (R130–D496) that contains the hallmark EHLAMMERILG/LAMMER motif (Kallen et al., 2018). Crystal structures are available for the apo enzyme (PDB 3NR9) and complexes with inhibitors (e.g., 6FYL, 6KHE) at 1.8–2.2 Å resolution (Lindberg &amp; Meijer, 2021). Key features include a Lys–Glu salt bridge stabilising the N-lobe, an intact hydrophobic spine, a Tyr-containing activation loop, β-hairpin and MAPK-like insertions around the ATP site, and an unusually large hydrophobic pocket in which Val326 is critical for inhibitor binding (Song et al., 2023; Lee et al., 2019).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</w:t>
      </w:r>
      <w:r>
        <w:br/>
      </w:r>
      <w:r>
        <w:t xml:space="preserve">– Autophosphorylation of the activation-loop Tyr activates the kinase (Lee et al., 2019).</w:t>
      </w:r>
      <w:r>
        <w:br/>
      </w:r>
      <w:r>
        <w:t xml:space="preserve">– AKT1 phosphorylates Ser34, Thr127 and Thr344, linking CLK2 to insulin signalling (Prak et al., 2016).</w:t>
      </w:r>
      <w:r>
        <w:br/>
      </w:r>
      <w:r>
        <w:t xml:space="preserve">– Temperature-dependent rearrangements within the activation segment modulate activity (Lindberg &amp; Meijer, 2021).</w:t>
      </w:r>
    </w:p>
    <w:p>
      <w:pPr>
        <w:pStyle w:val="BodyText"/>
      </w:pPr>
      <w:r>
        <w:t xml:space="preserve">Transcriptional / post-transcriptional</w:t>
      </w:r>
      <w:r>
        <w:br/>
      </w:r>
      <w:r>
        <w:t xml:space="preserve">– Insulin-pathway effectors and miR-573/miR-144 down-regulate CLK2 expression (Song et al., 2023).</w:t>
      </w:r>
      <w:r>
        <w:br/>
      </w:r>
      <w:r>
        <w:t xml:space="preserve">– Autoregulatory intron retention, analogous to CLK1, is proposed (Lindberg &amp; Meijer, 2021).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&amp; localisation: Widely expressed, enriched in nervous tissue and colon; predominantly nuclear (Song et al., 2023).</w:t>
      </w:r>
      <w:r>
        <w:br/>
      </w:r>
      <w:r>
        <w:t xml:space="preserve">Splicing control: Phosphorylates SR proteins, redistributing them from speckles to nucleoplasm and altering splice-site choice (e.g., Tau exon-10) (Lindberg &amp; Meijer, 2021).</w:t>
      </w:r>
      <w:r>
        <w:br/>
      </w:r>
      <w:r>
        <w:t xml:space="preserve">Metabolism: Phosphorylates PPARGC1A, suppressing hepatic gluconeogenic gene expression (Moyano et al., 2020).</w:t>
      </w:r>
      <w:r>
        <w:br/>
      </w:r>
      <w:r>
        <w:t xml:space="preserve">Signal transduction: Targets PPP2R5B to promote PP2A–AKT1 complex formation and PAGE4 to dampen JUN activity (Song et al., 2023).</w:t>
      </w:r>
      <w:r>
        <w:br/>
      </w:r>
      <w:r>
        <w:t xml:space="preserve">Additional roles: Required for HIV-1 gene expression; promotes migration and invasion of several cancer cell types (Lindberg &amp; Meijer, 2021; Song et al., 2023).</w:t>
      </w:r>
    </w:p>
    <w:p>
      <w:pPr>
        <w:pStyle w:val="BodyText"/>
      </w:pPr>
      <w:r>
        <w:t xml:space="preserve">Inhibitors</w:t>
      </w:r>
      <w:r>
        <w:br/>
      </w:r>
      <w:r>
        <w:t xml:space="preserve">ATP-competitive compounds with low-nanomolar CLK2 potency include CX-4945 (IC₅₀ ≈ 3.8 nM), CC-671 (6 nM), MU1210 (20 nM), SM08502, several indazole derivatives, KuWal151 and benzobisthiazole 3A5; tool compounds TG003, T-025 and DB18 also block SR-protein phosphorylation (Lee et al., 2019; Song et al., 2023; Kallen et al., 2018; Walter et al., 2018; Prak et al., 2016; Moyano et al., 2020).</w:t>
      </w:r>
    </w:p>
    <w:p>
      <w:pPr>
        <w:pStyle w:val="BodyText"/>
      </w:pPr>
      <w:r>
        <w:t xml:space="preserve">Other Comments</w:t>
      </w:r>
      <w:r>
        <w:br/>
      </w:r>
      <w:r>
        <w:t xml:space="preserve">CLK2 dysregulation is linked to Alzheimer’s disease (Tau mis-splicing), Phelan–McDermid syndrome, neurodevelopmental disorders, metabolic disease, osteoarthritis, several cancers and HIV infection. No recurrent pathogenic point mutations have been reported to date (Lindberg &amp; Meijer, 2021; Kallen et al., 2018; Moyano et al., 2020; Song et al., 2023).</w:t>
      </w:r>
    </w:p>
    <w:p>
      <w:pPr>
        <w:pStyle w:val="BodyText"/>
      </w:pPr>
      <w:r>
        <w:t xml:space="preserve">References</w:t>
      </w:r>
      <w:r>
        <w:br/>
      </w:r>
      <w:r>
        <w:t xml:space="preserve">Kallen, J., Bergsdorf, C., Arnaud, B., Bernhard, M., Brichet, M., Cobos-Correa, A., … Lerchner, A. (2018). X-ray structures and feasibility assessment of CLK2 inhibitors for Phelan–McDermid syndrome. ChemMedChem, 13, 1997–2007. https://doi.org/10.1002/cmdc.201800344</w:t>
      </w:r>
    </w:p>
    <w:p>
      <w:pPr>
        <w:pStyle w:val="BodyText"/>
      </w:pPr>
      <w:r>
        <w:t xml:space="preserve">Lee, J. Y., Yun, J.-S., Kim, W.-K., Chun, H.-S., Jin, H., Cho, S., &amp; Chang, J. H. (2019). Structural basis for the selective inhibition of CDC2-like kinases by CX-4945. BioMed Research International, 2019, 1–10. https://doi.org/10.1155/2019/6125068</w:t>
      </w:r>
    </w:p>
    <w:p>
      <w:pPr>
        <w:pStyle w:val="BodyText"/>
      </w:pPr>
      <w:r>
        <w:t xml:space="preserve">Lindberg, M. F., &amp; Meijer, L. (2021). Dual-specificity, tyrosine phosphorylation-regulated kinases (DYRKs) and CDC2-like kinases (CLKs) in human disease: An overview. International Journal of Molecular Sciences, 22, 6047. https://doi.org/10.3390/ijms22116047</w:t>
      </w:r>
    </w:p>
    <w:p>
      <w:pPr>
        <w:pStyle w:val="BodyText"/>
      </w:pPr>
      <w:r>
        <w:t xml:space="preserve">Moyano, P. M., Němec, V., &amp; Paruch, K. (2020). CDC-like kinases (CLKs): Biology, chemical probes, and therapeutic potential. International Journal of Molecular Sciences, 21, 7549. https://doi.org/10.3390/ijms21207549</w:t>
      </w:r>
    </w:p>
    <w:p>
      <w:pPr>
        <w:pStyle w:val="BodyText"/>
      </w:pPr>
      <w:r>
        <w:t xml:space="preserve">Ogle, R., Netherton, J., Robinson, B. R., Heyd, F., Zhang, X. D., &amp; Baker, M. A. (2024). Comparison of the CDC2-like kinase family across eukaryotes highlights the functional conservation of these unique biological thermometers. bioRxiv. https://doi.org/10.1101/2024.06.21.599975</w:t>
      </w:r>
    </w:p>
    <w:p>
      <w:pPr>
        <w:pStyle w:val="BodyText"/>
      </w:pPr>
      <w:r>
        <w:t xml:space="preserve">Prak, K., Kriston-Vizi, J., Chan, A. W. E., Luft, C., Costa, J. R., Pengo, N., &amp; Ketteler, R. (2016). Benzobisthiazoles represent a novel scaffold for kinase inhibitors of CLK family members. Biochemistry, 55, 608–617. https://doi.org/10.1021/acs.biochem.5b01128</w:t>
      </w:r>
    </w:p>
    <w:p>
      <w:pPr>
        <w:pStyle w:val="BodyText"/>
      </w:pPr>
      <w:r>
        <w:t xml:space="preserve">Song, M., Pang, L., Zhang, M., Qu, Y., Laster, K. V., &amp; Dong, Z. (2023). CDC2-like kinases: Structure, biological function and therapeutic targets for diseases. Signal Transduction and Targeted Therapy, 8, 126. https://doi.org/10.1038/s41392-023-01409-4</w:t>
      </w:r>
    </w:p>
    <w:p>
      <w:pPr>
        <w:pStyle w:val="BodyText"/>
      </w:pPr>
      <w:r>
        <w:t xml:space="preserve">Walter, A., Chaikuad, A., Helmer, R., Loaëc, N., Preu, L., Ott, I., … Kunick, C. (2018). Molecular structures of CDC2-like kinases in complex with a new inhibitor chemotype. PLoS ONE, 13, e0196761. https://doi.org/10.1371/journal.pone.0196761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2025-07-03T18:32:27Z</dcterms:created>
  <dcterms:modified xsi:type="dcterms:W3CDTF">2025-07-03T18:32:27Z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