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BMX is a non-receptor tyrosine kinase belonging to the Tec family within the tyrosine kinase (TK) group of the human kinome (Manning et al., 2002; Alexander et al., 2015). Hierarchical clustering of substrate-specificity data groups BMX with other Tec members (Yaron-Barir et al., 2024). The family also comprises BTK, ITK, TEC and TXK, with which BMX shares conserved domain architecture and evolutionary relationships (Kinoshita-Kikuta et al., 2022; Sugiyama et al., 2019). Some reports place BMX in the BTK sub-family of Tec kinases (Kinoshita-Kikuta et al.,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L-tyrosyl-residue ⇌ ADP + protein O-phospho-L-tyrosyl-residue (Alexander et al., 2015; Sugiyama et al., 2019; Yaron-Barir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Divalent metal ions (Mg²⁺, Mn²⁺ or Zn²⁺) are essential for catalysis (Alexander et al., 2015; Kinoshita-Kikuta et al.,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peptide arrays show that BMX prefers acidic residues (Asp/Glu) surrounding the phospho-acceptor tyrosine (Kinoshita-Kikuta et al., 2022; Sugiyama et al., 2019). Consensus motifs include E-X-pY-, D-X-pY-, and ‑pY-D/E-X-, with an additional study reporting an ABL-like motif featuring Pro at +3 (Unknown authors, n.d.).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BMX contains an N-terminal pleckstrin homology (PH) domain, Tec homology (TH) domain, SH2 domain, and a C-terminal kinase catalytic domain (Alexander et al., 2015; Sugiyama et al., 2019). Reports differ on the presence of a canonical SH3 versus an SH3-like domain (Alexander et al., 2015; Kinoshita-Kikuta et al., 2022). Key catalytic features include Lys445 in the ATP-binding pocket and Tyr566 in the activation loop (Kinoshita-Kikuta et al., 2022; Yaron-Barir et al., 2024). Structural information is available from AlphaFold models and an X-ray structure (PDB 3SXS) (Alexander et al., 2015; Kinoshita-Kikuta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modulated mainly by phosphorylation (Unknown authors, n.d.). Src family kinases phosphorylate Tyr566 to activate BMX (Alexander et al., 2015; Kinoshita-Kikuta et al., 2022). BMX undergoes autophosphorylation at Tyr224, Tyr234 and Tyr216, and additional regulatory sites include Ser453 and Thr572 (Kinoshita-Kikuta et al., 2022). The phosphatase SHP-1 can dephosphorylate BMX (Unknown authors, n.d.), and ubiquitination affects its stability (Alexander et al.,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BMX is expressed in hematopoietic, endothelial and some epithelial cells (Alexander et al., 2015; Sugiyama et al., 2019). It participates in signalling pathways governing cell proliferation, survival, migration and differentiation (Alexander et al., 2015; Kinoshita-Kikuta et al., 2022). Upstream activators include receptor tyrosine kinases, GPCRs, integrins and Src family kinases (Alexander et al., 2015; Sugiyama et al., 2019). Downstream, BMX influences PI3K/Akt, MAPK and STAT3 pathways and interacts with PLCγ, FAK and p130Cas (Alexander et al., 2015; Kinoshita-Kikuta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selective inhibitors are clinically approved, but multi-kinase compounds such as dasatinib, ibrutinib (pIC₅₀ ≈ 9.3) and the experimental agent BMX-IN-1 show activity against BMX (Alexander et al., 2015; Sugiyama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BMX activation or over-expression is linked to hematologic malignancies, inflammatory disorders, and solid tumours (Alexander et al., 2015; Sugiyama et al., 2019). Mutations such as S453A and T572A impair catalytic activity and are under investigation for oncogenic relevance (Kinoshita-Kikuta et al., 2022).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Alexander, S. P. H., Fabbro, D., Kelly, E., Marrion, N., Peters, J. A., Benson, H. E., … Davies, J. A. (2015). The concise guide to pharmacology 2015/16: enzymes. British Journal of Pharmacology, 172, 6024–6109. https://doi.org/10.1111/bph.13354</w:t>
      </w:r>
    </w:p>
    <w:p>
      <w:pPr>
        <w:pStyle w:val="BodyText"/>
      </w:pPr>
      <w:r>
        <w:t xml:space="preserve">Kinoshita-Kikuta, E., Ino, Y., Kimura, Y., Akiyama, T., Kinoshita, E., &amp; Koike, T. (2022). Use of Escherichia coli expression system for analyzing kinase motifs. Journal of Electrophoresis. https://doi.org/10.2198/jelectroph.66.13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Sugiyama, N., Imamura, H., &amp; Ishihama, Y. (2019). Large-scale discovery of substrates of the human kinome. Scientific Reports. https://doi.org/10.1038/s41598-019-46385-4</w:t>
      </w:r>
    </w:p>
    <w:p>
      <w:pPr>
        <w:pStyle w:val="BodyText"/>
      </w:pPr>
      <w:r>
        <w:t xml:space="preserve">Unknown authors. (n.d.). Phosphorylation activity and specificity of the oncogenic tyrosine kinase fusion protein BCR/ABL.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2025-07-03T22:24:54Z</dcterms:created>
  <dcterms:modified xsi:type="dcterms:W3CDTF">2025-07-03T22:24:54Z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