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Polo-like kinase 1 (PLK1) is the founding and best-characterised member of the eukaryotic Polo-like kinase family of serine/threonine protein kinases. Orthologues are found from yeast (</w:t>
      </w:r>
      <w:r>
        <w:rPr>
          <w:i/>
          <w:iCs/>
        </w:rPr>
        <w:t xml:space="preserve">CDC5/PLO1</w:t>
      </w:r>
      <w:r>
        <w:t xml:space="preserve">) to flies (</w:t>
      </w:r>
      <w:r>
        <w:rPr>
          <w:i/>
          <w:iCs/>
        </w:rPr>
        <w:t xml:space="preserve">polo</w:t>
      </w:r>
      <w:r>
        <w:t xml:space="preserve">) and vertebrates, underscoring deep evolutionary conservation (Kothe et al., 2007; Strebhardt &amp; Ullrich, 2006). Mammals encode five paralogues (PLK1-5), with PLK1 representing the archetype of the PLK branch in the human kinome (Chiappa et al., 2022; Lee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(Weiss &amp; Efferth, 2012; Lee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typically Mg²⁺ (or Mn²⁺), together with ATP (Cholewa et al., 2013; Schmucker &amp; Sumara, 2014; Park et al.,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Substrate engagement involves two coordinated determinants:</w:t>
      </w:r>
      <w:r>
        <w:br/>
      </w:r>
      <w:r>
        <w:t xml:space="preserve">• C-terminal Polo-box domain (PBD) docks onto primed phosphopeptides bearing the consensus S-pS/pT-P/X; an optimised sequence is MAGPMQ-S-pT-P-LNGAKK (Elia et al., 2003; Weiss &amp; Efferth, 2012; Chapagai et al., 2025).</w:t>
      </w:r>
      <w:r>
        <w:br/>
      </w:r>
      <w:r>
        <w:t xml:space="preserve">• N-terminal kinase domain phosphorylates sites that typically contain an acidic residue at −2 and Lys/Arg at +3. Alternative motifs such as [E/D]X[S/T][I/L/V/M]X[E] have also been reported (Kothe et al., 2007; Bibi et al.,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PLK1 comprises an N-terminal catalytic kinase domain (KD) linked to a C-terminal PBD (Strebhardt &amp; Ullrich, 2006; Chapagai et al., 2025).</w:t>
      </w:r>
      <w:r>
        <w:br/>
      </w:r>
      <w:r>
        <w:t xml:space="preserve">• KD: classical bilobal kinase fold; catalytic Lys82 and activation T-loop containing regulatory Thr210 (Kothe et al., 2007; Lee et al., 2015). Crystal structures include PDB 2OU7, 2OWB and 3FC2.</w:t>
      </w:r>
      <w:r>
        <w:br/>
      </w:r>
      <w:r>
        <w:t xml:space="preserve">• PBD: two polo-box motifs that mediate phosphopeptide binding, autoinhibition and localisation; key residues His538 and Lys540 (Strebhardt &amp; Ullrich, 2006; Chapagai et al., 2025). PBD structure: PDB 3RQ7.</w:t>
      </w:r>
      <w:r>
        <w:br/>
      </w:r>
      <w:r>
        <w:t xml:space="preserve">The two domains are connected by a flexible linker that enables intramolecular autoinhibitory contacts.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multilayeredly:</w:t>
      </w:r>
      <w:r>
        <w:br/>
      </w:r>
      <w:r>
        <w:t xml:space="preserve">• Activation-loop phosphorylation of Thr210 by Aurora A in complex with Bora at the G2/M transition (Chiappa et al., 2022; Helmke et al., 2016).</w:t>
      </w:r>
      <w:r>
        <w:br/>
      </w:r>
      <w:r>
        <w:t xml:space="preserve">• Autoinhibition: intramolecular KD–PBD interaction suppresses catalysis; binding of the PBD to a phosphorylated docking site relieves this brake (Chiappa et al., 2022; Elia et al., 2003).</w:t>
      </w:r>
      <w:r>
        <w:br/>
      </w:r>
      <w:r>
        <w:t xml:space="preserve">• Transcriptional up-regulation peaks in G2/M and is driven by factors such as p53, pRb, Akt and Myc (Cholewa et al., 2013; Colicino &amp; Hehnly,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PLK1 is a master mitotic regulator required from G2 entry through cytokinesis. Key roles include:</w:t>
      </w:r>
      <w:r>
        <w:br/>
      </w:r>
      <w:r>
        <w:t xml:space="preserve">– Phosphorylation of Cdc25C, WEE1 and MYT1 to trigger mitotic entry.</w:t>
      </w:r>
      <w:r>
        <w:br/>
      </w:r>
      <w:r>
        <w:t xml:space="preserve">– Control of centrosome maturation, bipolar spindle assembly, chromosome segregation and cytokinesis (Chiappa et al., 2022).</w:t>
      </w:r>
      <w:r>
        <w:br/>
      </w:r>
      <w:r>
        <w:t xml:space="preserve">– Spatial targeting to centrosomes, kinetochores and the midbody via PBD interaction with proteins such as Bora, Gravin, BubR1 and PRC1 (Colicino &amp; Hehnly, 2018).</w:t>
      </w:r>
      <w:r>
        <w:br/>
      </w:r>
      <w:r>
        <w:t xml:space="preserve">– Participation in DNA-damage responses and negative regulation of p53 (Chiappa et al., 2022; Strebhardt &amp; Ullrich, 2006).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Two principal classes have been developed for anticancer therapy:</w:t>
      </w:r>
      <w:r>
        <w:br/>
      </w:r>
      <w:r>
        <w:t xml:space="preserve">• ATP-competitive KD inhibitors – e.g., Volasertib (BI 6727), BI 2536, TAK-960 (Liu et al., 2017; Weiss &amp; Efferth, 2012).</w:t>
      </w:r>
      <w:r>
        <w:br/>
      </w:r>
      <w:r>
        <w:t xml:space="preserve">• PBD-directed inhibitors – e.g., Poloxin; the non-ATP-competitive agent Rigosertib also disrupts PLK1 signalling (McInnes &amp; Wyatt, 2011; Liu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PLK1 is frequently overexpressed in diverse tumours and high expression correlates with poor prognosis (Cholewa et al., 2013; Strebhardt &amp; Ullrich, 2006).</w:t>
      </w:r>
      <w:r>
        <w:br/>
      </w:r>
      <w:r>
        <w:t xml:space="preserve">Disease-linked mutations include loss-of-function Lys82Met, constitutively active Thr210Asp and PBD-defective Trp414Phe, which respectively cause mitotic failure, checkpoint override and mis-localisation (Strebhardt &amp; Ullrich, 2006; Chapagai et al., 2025). Dysregulated PLK1 promotes genomic instability and oncogenesis (Cunningham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Bibi, N., Parveen, Z., &amp; Rashid, S. (2013). Identification of potential PLK1 targets in a cell-cycle specific proteome through structural dynamics of kinase and polo box-mediated interactions.</w:t>
      </w:r>
      <w:r>
        <w:t xml:space="preserve"> </w:t>
      </w:r>
      <w:r>
        <w:rPr>
          <w:i/>
          <w:iCs/>
        </w:rPr>
        <w:t xml:space="preserve">PLoS ONE, 8</w:t>
      </w:r>
      <w:r>
        <w:t xml:space="preserve">, e70843. https://doi.org/10.1371/journal.pone.0070843</w:t>
      </w:r>
    </w:p>
    <w:p>
      <w:pPr>
        <w:pStyle w:val="BodyText"/>
      </w:pPr>
      <w:r>
        <w:t xml:space="preserve">Chapagai, D., Strebhardt, K., Wyatt, M. D., &amp; McInnes, C. (2025). Structural regulation of PLK1 activity: implications for cell cycle function and drug discovery.</w:t>
      </w:r>
      <w:r>
        <w:t xml:space="preserve"> </w:t>
      </w:r>
      <w:r>
        <w:rPr>
          <w:i/>
          <w:iCs/>
        </w:rPr>
        <w:t xml:space="preserve">Cancer Gene Therapy, 32</w:t>
      </w:r>
      <w:r>
        <w:t xml:space="preserve">, 608–621. https://doi.org/10.1038/s41417-025-00907-7</w:t>
      </w:r>
    </w:p>
    <w:p>
      <w:pPr>
        <w:pStyle w:val="BodyText"/>
      </w:pPr>
      <w:r>
        <w:t xml:space="preserve">Chiappa, M., Petrella, S., Damia, G., Broggini, M., Guffanti, F., &amp; Ricci, F. (2022). Present and future perspective on PLK1 inhibition in cancer treatment.</w:t>
      </w:r>
      <w:r>
        <w:t xml:space="preserve"> </w:t>
      </w:r>
      <w:r>
        <w:rPr>
          <w:i/>
          <w:iCs/>
        </w:rPr>
        <w:t xml:space="preserve">Frontiers in Oncology</w:t>
      </w:r>
      <w:r>
        <w:t xml:space="preserve">. https://doi.org/10.3389/fonc.2022.903016</w:t>
      </w:r>
    </w:p>
    <w:p>
      <w:pPr>
        <w:pStyle w:val="BodyText"/>
      </w:pPr>
      <w:r>
        <w:t xml:space="preserve">Cholewa, B. D., Liu, X., &amp; Ahmad, N. (2013). The role of polo-like kinase 1 in carcinogenesis: cause or consequence?</w:t>
      </w:r>
      <w:r>
        <w:t xml:space="preserve"> </w:t>
      </w:r>
      <w:r>
        <w:rPr>
          <w:i/>
          <w:iCs/>
        </w:rPr>
        <w:t xml:space="preserve">Cancer Research, 73</w:t>
      </w:r>
      <w:r>
        <w:t xml:space="preserve">, 6848–6855. https://doi.org/10.1158/0008-5472.CAN-13-2197</w:t>
      </w:r>
    </w:p>
    <w:p>
      <w:pPr>
        <w:pStyle w:val="BodyText"/>
      </w:pPr>
      <w:r>
        <w:t xml:space="preserve">Colicino, E. G., &amp; Hehnly, H. (2018). Regulating a key mitotic regulator, polo-like kinase 1 (PLK1).</w:t>
      </w:r>
      <w:r>
        <w:t xml:space="preserve"> </w:t>
      </w:r>
      <w:r>
        <w:rPr>
          <w:i/>
          <w:iCs/>
        </w:rPr>
        <w:t xml:space="preserve">Cytoskeleton, 75</w:t>
      </w:r>
      <w:r>
        <w:t xml:space="preserve">, 481–494. https://doi.org/10.1002/cm.21504</w:t>
      </w:r>
    </w:p>
    <w:p>
      <w:pPr>
        <w:pStyle w:val="BodyText"/>
      </w:pPr>
      <w:r>
        <w:t xml:space="preserve">Cunningham, C. E., MacAuley, M. J., Vizeacoumar, F. S., et al. (2020). The CINs of polo-like kinase 1 in cancer.</w:t>
      </w:r>
      <w:r>
        <w:t xml:space="preserve"> </w:t>
      </w:r>
      <w:r>
        <w:rPr>
          <w:i/>
          <w:iCs/>
        </w:rPr>
        <w:t xml:space="preserve">Cancers, 12</w:t>
      </w:r>
      <w:r>
        <w:t xml:space="preserve">, 2953. https://doi.org/10.3390/cancers12102953</w:t>
      </w:r>
    </w:p>
    <w:p>
      <w:pPr>
        <w:pStyle w:val="BodyText"/>
      </w:pPr>
      <w:r>
        <w:t xml:space="preserve">Elia, A. E. H., Rellos, P., Haire, L. F., et al. (2003). The molecular basis for phosphodependent substrate targeting and regulation of PLKs by the polo-box domain.</w:t>
      </w:r>
      <w:r>
        <w:t xml:space="preserve"> </w:t>
      </w:r>
      <w:r>
        <w:rPr>
          <w:i/>
          <w:iCs/>
        </w:rPr>
        <w:t xml:space="preserve">Cell, 115</w:t>
      </w:r>
      <w:r>
        <w:t xml:space="preserve">, 83–95. https://doi.org/10.1016/S0092-8674(03)00725-6</w:t>
      </w:r>
    </w:p>
    <w:p>
      <w:pPr>
        <w:pStyle w:val="BodyText"/>
      </w:pPr>
      <w:r>
        <w:t xml:space="preserve">Helmke, C., Becker, S., &amp; Strebhardt, K. (2016). The role of PLK3 in oncogenesis.</w:t>
      </w:r>
      <w:r>
        <w:t xml:space="preserve"> </w:t>
      </w:r>
      <w:r>
        <w:rPr>
          <w:i/>
          <w:iCs/>
        </w:rPr>
        <w:t xml:space="preserve">Oncogene, 35</w:t>
      </w:r>
      <w:r>
        <w:t xml:space="preserve">, 135–147. https://doi.org/10.1038/onc.2015.105</w:t>
      </w:r>
    </w:p>
    <w:p>
      <w:pPr>
        <w:pStyle w:val="BodyText"/>
      </w:pPr>
      <w:r>
        <w:t xml:space="preserve">Kothe, M., Kohls, D., Low, S., et al. (2007). Structure of the catalytic domain of human polo-like kinase 1.</w:t>
      </w:r>
      <w:r>
        <w:t xml:space="preserve"> </w:t>
      </w:r>
      <w:r>
        <w:rPr>
          <w:i/>
          <w:iCs/>
        </w:rPr>
        <w:t xml:space="preserve">Biochemistry, 46</w:t>
      </w:r>
      <w:r>
        <w:t xml:space="preserve">, 5960–5971. https://doi.org/10.1021/bi602474j</w:t>
      </w:r>
    </w:p>
    <w:p>
      <w:pPr>
        <w:pStyle w:val="BodyText"/>
      </w:pPr>
      <w:r>
        <w:t xml:space="preserve">Lee, K. S., Burke, T. R., Park, J.-E., Bang, J. K., &amp; Lee, E. (2015). Recent advances and new strategies in targeting PLK1 for anticancer therapy.</w:t>
      </w:r>
      <w:r>
        <w:t xml:space="preserve"> </w:t>
      </w:r>
      <w:r>
        <w:rPr>
          <w:i/>
          <w:iCs/>
        </w:rPr>
        <w:t xml:space="preserve">Trends in Pharmacological Sciences, 36</w:t>
      </w:r>
      <w:r>
        <w:t xml:space="preserve">, 858–877. https://doi.org/10.1016/j.tips.2015.08.013</w:t>
      </w:r>
    </w:p>
    <w:p>
      <w:pPr>
        <w:pStyle w:val="BodyText"/>
      </w:pPr>
      <w:r>
        <w:t xml:space="preserve">Liu, Z., Sun, Q., &amp; Wang, X. (2017). PLK1, a potential target for cancer therapy.</w:t>
      </w:r>
      <w:r>
        <w:t xml:space="preserve"> </w:t>
      </w:r>
      <w:r>
        <w:rPr>
          <w:i/>
          <w:iCs/>
        </w:rPr>
        <w:t xml:space="preserve">Translational Oncology, 10</w:t>
      </w:r>
      <w:r>
        <w:t xml:space="preserve">, 22–32. https://doi.org/10.1016/j.tranon.2016.10.003</w:t>
      </w:r>
    </w:p>
    <w:p>
      <w:pPr>
        <w:pStyle w:val="BodyText"/>
      </w:pPr>
      <w:r>
        <w:t xml:space="preserve">McInnes, C., &amp; Wyatt, M. D. (2011). PLK1 as an oncology target: current status and future potential.</w:t>
      </w:r>
      <w:r>
        <w:t xml:space="preserve"> </w:t>
      </w:r>
      <w:r>
        <w:rPr>
          <w:i/>
          <w:iCs/>
        </w:rPr>
        <w:t xml:space="preserve">Drug Discovery Today, 16</w:t>
      </w:r>
      <w:r>
        <w:t xml:space="preserve">, 619–625. https://doi.org/10.1016/j.drudis.2011.05.002</w:t>
      </w:r>
    </w:p>
    <w:p>
      <w:pPr>
        <w:pStyle w:val="BodyText"/>
      </w:pPr>
      <w:r>
        <w:t xml:space="preserve">Park, J.-E., Hymel, D., Burke, T., &amp; Lee, K. S. (2017). Current progress and future perspectives in the development of anti-polo-like kinase 1 therapeutic agents.</w:t>
      </w:r>
      <w:r>
        <w:t xml:space="preserve"> </w:t>
      </w:r>
      <w:r>
        <w:rPr>
          <w:i/>
          <w:iCs/>
        </w:rPr>
        <w:t xml:space="preserve">F1000Research</w:t>
      </w:r>
      <w:r>
        <w:t xml:space="preserve">. https://doi.org/10.12688/f1000research.11398.1</w:t>
      </w:r>
    </w:p>
    <w:p>
      <w:pPr>
        <w:pStyle w:val="BodyText"/>
      </w:pPr>
      <w:r>
        <w:t xml:space="preserve">Schmucker, S., &amp; Sumara, I. (2014). Molecular dynamics of PLK1 during mitosis.</w:t>
      </w:r>
      <w:r>
        <w:t xml:space="preserve"> </w:t>
      </w:r>
      <w:r>
        <w:rPr>
          <w:i/>
          <w:iCs/>
        </w:rPr>
        <w:t xml:space="preserve">Molecular &amp; Cellular Oncology, 1</w:t>
      </w:r>
      <w:r>
        <w:t xml:space="preserve">, e954507. https://doi.org/10.1080/23723548.2014.954507</w:t>
      </w:r>
    </w:p>
    <w:p>
      <w:pPr>
        <w:pStyle w:val="BodyText"/>
      </w:pPr>
      <w:r>
        <w:t xml:space="preserve">Strebhardt, K., &amp; Ullrich, A. (2006). Targeting polo-like kinase 1 for cancer therapy.</w:t>
      </w:r>
      <w:r>
        <w:t xml:space="preserve"> </w:t>
      </w:r>
      <w:r>
        <w:rPr>
          <w:i/>
          <w:iCs/>
        </w:rPr>
        <w:t xml:space="preserve">Nature Reviews Cancer, 6</w:t>
      </w:r>
      <w:r>
        <w:t xml:space="preserve">, 321–330. https://doi.org/10.1038/nrc1841</w:t>
      </w:r>
    </w:p>
    <w:p>
      <w:pPr>
        <w:pStyle w:val="BodyText"/>
      </w:pPr>
      <w:r>
        <w:t xml:space="preserve">Weiss, L., &amp; Efferth, T. (2012). Polo-like kinase 1 as target for cancer therapy.</w:t>
      </w:r>
      <w:r>
        <w:t xml:space="preserve"> </w:t>
      </w:r>
      <w:r>
        <w:rPr>
          <w:i/>
          <w:iCs/>
        </w:rPr>
        <w:t xml:space="preserve">Experimental Hematology &amp; Oncology, 1</w:t>
      </w:r>
      <w:r>
        <w:t xml:space="preserve">, 38. https://doi.org/10.1186/2162-3619-1-38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2025-07-03T21:53:25Z</dcterms:created>
  <dcterms:modified xsi:type="dcterms:W3CDTF">2025-07-03T21:53:25Z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