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Belongs to the CMGC group, MAP-kinase family, p38 sub-family, p38γ/δ branch (Cuenda &amp; Rousseau, 2007). Gene-duplication analyses place MAPK11/12 as derivatives of the ancestral MAPK13/14 cluster (Yokota &amp; Wang, 2016). Verified vertebrate orthologues include human MAPK12, Mus musculus Mapk12 and Rattus norvegicus Mapk12; no invertebrate orthologues are reported (Kumar, Boehm, &amp; Lee, 2003; Qi &amp; Chen, 2023).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protein-Ser/Thr ⇄ ADP + protein-O-phospho-Ser/Thr (Machado, Machado, &amp; Pascutti, 2021).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Activity requires a divalent cation; Mg²⁺ coordinates ATP in the active site (Goldsmith, Cobb, &amp; Chang, 2004).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Recognises the proline-directed consensus ‑P-X-(S/T)-P- (Cuenda &amp; Rousseau, 2007).</w:t>
      </w:r>
      <w:r>
        <w:br/>
      </w:r>
      <w:r>
        <w:t xml:space="preserve">• A C-terminal KETXL motif docks p38γ to PDZ-domain proteins (α1-syntrophin, SAP90/PSD95, SAP97/hDlg) and enhances phosphorylation efficiency (Risco &amp; Cuenda, 2012).</w:t>
      </w:r>
      <w:r>
        <w:br/>
      </w:r>
      <w:r>
        <w:t xml:space="preserve">• p38γ/δ preferentially phosphorylate Tau, α1-syntrophin and SAP90/PSD95, whereas MAPKAPK2/3 are favoured by p38α/β (Cuenda &amp; Rousseau, 2007).</w:t>
      </w:r>
      <w:r>
        <w:br/>
      </w:r>
      <w:r>
        <w:t xml:space="preserve">• Additional validated sites include HSP90α Ser595, β-catenin Ser605, PFKFB3 Ser467, retinoblastoma Ser807/Ser811 and p53 Ser33 (Qi &amp; Chen, 2023).</w:t>
      </w:r>
    </w:p>
    <w:p>
      <w:pPr>
        <w:pStyle w:val="BodyText"/>
      </w:pPr>
      <w:r>
        <w:t xml:space="preserve">Structure</w:t>
      </w:r>
      <w:r>
        <w:br/>
      </w:r>
      <w:r>
        <w:t xml:space="preserve">The 367-residue kinase crystallises as a monomer with the canonical bilobed fold (Risco &amp; Cuenda, 2012).</w:t>
      </w:r>
      <w:r>
        <w:br/>
      </w:r>
      <w:r>
        <w:t xml:space="preserve">• N-lobe: β-sheet plus Gly-rich loop (residues 30-37) forming part of the ATP pocket (Goldsmith et al., 2004).</w:t>
      </w:r>
      <w:r>
        <w:br/>
      </w:r>
      <w:r>
        <w:t xml:space="preserve">• C-lobe: α-helical, containing the HRD catalytic loop and DFG motif Asp168-Phe169-Gly170 (Goldsmith et al., 2004).</w:t>
      </w:r>
      <w:r>
        <w:br/>
      </w:r>
      <w:r>
        <w:t xml:space="preserve">• Activation loop bears a Thr-Gly-Tyr motif; dual phosphorylation induces an active conformation comparable to ERK2 yet remains monomeric (Cuadrado &amp; Nebreda, 2010).</w:t>
      </w:r>
      <w:r>
        <w:br/>
      </w:r>
      <w:r>
        <w:t xml:space="preserve">Unique features</w:t>
      </w:r>
      <w:r>
        <w:br/>
      </w:r>
      <w:r>
        <w:t xml:space="preserve">– 38-residue MAPK insert that contributes to substrate docking (Goldsmith et al., 2004).</w:t>
      </w:r>
      <w:r>
        <w:br/>
      </w:r>
      <w:r>
        <w:t xml:space="preserve">– A bulky gatekeeper residue blocks pyridinyl-imidazole inhibitor binding (Cuenda &amp; Rousseau, 2007).</w:t>
      </w:r>
      <w:r>
        <w:br/>
      </w:r>
      <w:r>
        <w:t xml:space="preserve">– C-terminal KETXL PDZ-binding surface is unique to p38γ (Risco &amp; Cuenda, 2012).</w:t>
      </w:r>
      <w:r>
        <w:br/>
      </w:r>
      <w:r>
        <w:t xml:space="preserve">– Hinge and αC-helix rearrangements upon phosphorylation widen the ATP site; hinge plasticity underpins isoform-selective inhibitor design (Yurtsever et al., 2015).</w:t>
      </w:r>
    </w:p>
    <w:p>
      <w:pPr>
        <w:pStyle w:val="BodyText"/>
      </w:pPr>
      <w:r>
        <w:t xml:space="preserve">Regulation</w:t>
      </w:r>
      <w:r>
        <w:br/>
      </w:r>
      <w:r>
        <w:t xml:space="preserve">Activated by dual phosphorylation of Thr180/Tyr182 by MKK3 or MKK6; MKK4 can substitute under some stimuli (Risco &amp; Cuenda, 2012; Cuadrado &amp; Nebreda, 2010). Upstream MAP3Ks (ASK1, TAK1, TAO1/2, MLKs, MEKKs) feed signals to MKK3/6 (Risco &amp; Cuenda, 2012; Cuadrado &amp; Nebreda, 2010). TAB1-induced autophosphorylation provides an alternative activation route (Machado et al., 2021). No other post-translational modifications are documented in the cited literature.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is highest in skeletal muscle and also detected in nervous tissue and cardiac myocytes (Chen et al., 2001; Kumar et al., 2003; Yokota &amp; Wang, 2016).</w:t>
      </w:r>
      <w:r>
        <w:br/>
      </w:r>
      <w:r>
        <w:t xml:space="preserve">Physiological roles</w:t>
      </w:r>
      <w:r>
        <w:br/>
      </w:r>
      <w:r>
        <w:t xml:space="preserve">• Promotes myoblast differentiation and muscle regeneration (Risco &amp; Cuenda, 2012).</w:t>
      </w:r>
      <w:r>
        <w:br/>
      </w:r>
      <w:r>
        <w:t xml:space="preserve">• Modulates cytokine production during inflammatory responses (Machado et al., 2021).</w:t>
      </w:r>
      <w:r>
        <w:br/>
      </w:r>
      <w:r>
        <w:t xml:space="preserve">• Contributes to cyclin D1 down-regulation during hypoxia in adrenal cells (information provided in Nomenclature).</w:t>
      </w:r>
      <w:r>
        <w:br/>
      </w:r>
      <w:r>
        <w:t xml:space="preserve">Signalling context</w:t>
      </w:r>
      <w:r>
        <w:br/>
      </w:r>
      <w:r>
        <w:t xml:space="preserve">Activated by environmental stressors and pro-inflammatory cytokines; downstream targets include ELK1, ATF2 and PDZ-domain scaffolds, linking p38γ to transcriptional and cytoskeletal control (Cuenda &amp; Rousseau, 2007; Risco &amp; Cuenda, 2012).</w:t>
      </w:r>
    </w:p>
    <w:p>
      <w:pPr>
        <w:pStyle w:val="BodyText"/>
      </w:pPr>
      <w:r>
        <w:t xml:space="preserve">Inhibitors</w:t>
      </w:r>
      <w:r>
        <w:br/>
      </w:r>
      <w:r>
        <w:t xml:space="preserve">• SB203580 and related pyridinyl-imidazoles inhibit p38α/β but not p38γ (Cuenda &amp; Rousseau, 2007).</w:t>
      </w:r>
      <w:r>
        <w:br/>
      </w:r>
      <w:r>
        <w:t xml:space="preserve">• Selective or preferential p38γ inhibitors: pirfenidone, BIRB796, PIK75, CSH71, AD80 (Qi &amp; Chen, 2023).</w:t>
      </w:r>
      <w:r>
        <w:br/>
      </w:r>
      <w:r>
        <w:t xml:space="preserve">• Certain CDK-directed chemotypes also inhibit p38γ owing to structural similarity to CDKs (Machado et al., 2021).</w:t>
      </w:r>
    </w:p>
    <w:p>
      <w:pPr>
        <w:pStyle w:val="BodyText"/>
      </w:pPr>
      <w:r>
        <w:t xml:space="preserve">Other Comments</w:t>
      </w:r>
      <w:r>
        <w:br/>
      </w:r>
      <w:r>
        <w:t xml:space="preserve">Elevated p38γ activity supports oncogenic signalling in colon, pancreatic, liver and breast tumours via phosphorylation of HSP90α, β-catenin, PFKFB3, Rb and p53 (Qi &amp; Chen, 2023). Mapk12-null mice are viable but show reduced cytokine output to LPS and resistance to chemically induced carcinogenesis (Qi &amp; Chen, 2023). Increased p38γ expression is associated with hypertrophic myocardium in rats and humans (Kumar et al., 2003; Yokota &amp; Wang, 2016).</w:t>
      </w:r>
    </w:p>
    <w:p>
      <w:pPr>
        <w:pStyle w:val="BodyText"/>
      </w:pPr>
      <w:r>
        <w:t xml:space="preserve">References</w:t>
      </w:r>
      <w:r>
        <w:br/>
      </w:r>
      <w:r>
        <w:t xml:space="preserve">Chen, Z., Gibson, T. B., Robinson, F., Silvestro, L., Pearson, G., Xu, B., Wright, A., Vanderbilt, C., &amp; Cobb, M. H. (2001). MAP kinases. Chemical Reviews, 101, 2449–2476. https://doi.org/10.1021/cr000241p</w:t>
      </w:r>
    </w:p>
    <w:p>
      <w:pPr>
        <w:pStyle w:val="BodyText"/>
      </w:pPr>
      <w:r>
        <w:t xml:space="preserve">Cuadrado, A., &amp; Nebreda, A. R. (2010). Mechanisms and functions of p38 MAPK signalling. Biochemical Journal, 429(3), 403–417. https://doi.org/10.1042/BJ20100323</w:t>
      </w:r>
    </w:p>
    <w:p>
      <w:pPr>
        <w:pStyle w:val="BodyText"/>
      </w:pPr>
      <w:r>
        <w:t xml:space="preserve">Cuenda, A., &amp; Rousseau, S. (2007). P38 MAP-kinases pathway regulation, function and role in human diseases. Biochimica et Biophysica Acta (BBA) ‑ Molecular Cell Research, 1773, 1358–1375. https://doi.org/10.1016/j.bbamcr.2007.03.010</w:t>
      </w:r>
    </w:p>
    <w:p>
      <w:pPr>
        <w:pStyle w:val="BodyText"/>
      </w:pPr>
      <w:r>
        <w:t xml:space="preserve">Goldsmith, E. J., Cobb, M. H., &amp; Chang, C.-I. (2004). Structure of MAPKs. Methods in Molecular Biology, 250, 127–144. https://doi.org/10.1385/1-59259-671-1:127</w:t>
      </w:r>
    </w:p>
    <w:p>
      <w:pPr>
        <w:pStyle w:val="BodyText"/>
      </w:pPr>
      <w:r>
        <w:t xml:space="preserve">Kumar, S., Boehm, J., &amp; Lee, J. C. (2003). P38 MAP kinases: key signalling molecules as therapeutic targets for inflammatory diseases. Nature Reviews Drug Discovery, 2, 717–726. https://doi.org/10.1038/nrd1177</w:t>
      </w:r>
    </w:p>
    <w:p>
      <w:pPr>
        <w:pStyle w:val="BodyText"/>
      </w:pPr>
      <w:r>
        <w:t xml:space="preserve">Machado, T. R., Machado, T. R., &amp; Pascutti, P. G. (2021). The p38 MAPK inhibitors and their role in inflammatory diseases. Select, 6, 5729–5742. https://doi.org/10.1002/slct.202100406</w:t>
      </w:r>
    </w:p>
    <w:p>
      <w:pPr>
        <w:pStyle w:val="BodyText"/>
      </w:pPr>
      <w:r>
        <w:t xml:space="preserve">Qi, X., &amp; Chen, G. (2023). P38γ MAPK inflammatory and metabolic signalling in physiology and disease. Cells, 12, 131674. https://doi.org/10.3390/cells12131674</w:t>
      </w:r>
    </w:p>
    <w:p>
      <w:pPr>
        <w:pStyle w:val="BodyText"/>
      </w:pPr>
      <w:r>
        <w:t xml:space="preserve">Risco, A., &amp; Cuenda, A. (2012). New insights into the p38γ and p38δ MAPK pathways. Journal of Signal Transduction, 2012, 520289. https://doi.org/10.1155/2012/520289</w:t>
      </w:r>
    </w:p>
    <w:p>
      <w:pPr>
        <w:pStyle w:val="BodyText"/>
      </w:pPr>
      <w:r>
        <w:t xml:space="preserve">Yokota, T., &amp; Wang, Y. (2016). P38 MAP kinases in the heart. Gene, 575, 369–376. https://doi.org/10.1016/j.gene.2015.09.030</w:t>
      </w:r>
    </w:p>
    <w:p>
      <w:pPr>
        <w:pStyle w:val="BodyText"/>
      </w:pPr>
      <w:r>
        <w:t xml:space="preserve">Yurtsever, Z., Scheaffer, S. M., Romero, A., Holtzman, M. J., &amp; Brett, T. J. (2015). The crystal structure of phosphorylated MAPK13 reveals common structural features and differences in p38 MAPK family activation. Acta Crystallographica Section D: Biological Crystallography, 71(4), 790–799. https://doi.org/10.1107/S1399004715001212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2025-07-03T23:46:10Z</dcterms:created>
  <dcterms:modified xsi:type="dcterms:W3CDTF">2025-07-03T23:46:10Z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