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Protein kinase C ε (PRKCE) is a member of the AGC kinase family, classified as a novel PKC (nPKC) isoform within the eukaryotic protein kinase (ePK) group and conserved across metazoans (Manning et al., 2002, pp. 3-4, 7-8). Motif-based clustering places PRKCE in the PKC branch together with PKCα/β/δ/ζ isoforms (Johnson et al., 2023, pp. 4-5).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[a protein] ⇌ ADP + [a phosphoprotein] (Duquesnes et al., 2011, pp. 4-5; Parker et al., 2020, pp. 1-3; Zeng et al., 2012, pp. 639-642).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Mg²⁺-dependent and Ca²⁺-independent kinase activity (Duquesnes et al., 2011, p. 4; Parker et al., 2020, pp. 1-3; Scruggs et al., 2016, pp. 1-6).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Comprehensive peptide-array profiling categorises PRKCE as a basophilic Ser/Thr kinase preferring Arg/Lys at −3 and/or −2 (consensus R-x-x-S/T or R-x-S/T) (Johnson et al., 2023, pp. 3-4, 12-18). One report instead favours Asp/Glu at −3 (Scruggs et al., 2016, pp. 1-6). Preferences for the +1 position are inconsistent: hydrophobic (Leu/Ile/Val/Phe) (Scruggs et al., 2016, pp. 12-15), Pro (Duquesnes et al., 2011, p. 5), basic (Unknown authors, 2012, pp. 20-23; Zeng et al., 2012, pp. 639-642) or generally small/hydrophobic residues (Zeng et al., 2012, pp. 642-645).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regulatory region and a C-terminal catalytic domain (Parker et al., 2020, pp. 1-3; Manning et al., 2002, pp. 3-4).</w:t>
      </w:r>
      <w:r>
        <w:br/>
      </w:r>
      <w:r>
        <w:t xml:space="preserve">• Regulatory domain: pseudosubstrate segment (autoinhibition), tandem C1 motifs (DAG binding) and a Ca²⁺-insensitive C2 domain (Duquesnes et al., 2011, p. 4; Parker et al., 2020, pp. 1-3).</w:t>
      </w:r>
      <w:r>
        <w:br/>
      </w:r>
      <w:r>
        <w:t xml:space="preserve">• Catalytic domain: canonical kinase fold with activation loop, C-helix and hydrophobic spine stabilising the active conformation (Parker et al., 2020, pp. 1-3; Scruggs et al., 2016, pp. 1-6; Zeng et al., 2012, pp. 639-642).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1"/>
        </w:numPr>
      </w:pPr>
      <w:r>
        <w:t xml:space="preserve">Allosteric activation: DAG binding to C1 domains releases the autoinhibitory pseudosubstrate, enabling substrate access (Duquesnes et al., 2011, p. 4; Parker et al., 2020, pp. 1-3; Scruggs et al., 2016, pp. 1-6).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Phosphorylation: PDK1 phosphorylates T566 in the activation loop and S729 in the C-terminal hydrophobic motif to confer full activity and stability (Duquesnes et al., 2011, p. 4; Parker et al., 2020, pp. 1-3; Scruggs et al., 2016, pp. 1-6).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PRKCE is expressed in cardiac, neuronal and immune tissues (Manning et al., 2002, pp. 7-8). Acting downstream of PDK1, it phosphorylates MARCKS, vimentin and keratin-8, thereby modulating cytoskeletal organisation, cell adhesion and signalling pathways such as MAPK and NF-κB (Duquesnes et al., 2011, p. 4; Parker et al., 2020, pp. 1-3; Zeng et al., 2012, pp. 639-648).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Bryostatin 1 (DAG analogue) and the εV1-2 peptide selectively oppose PKCε activation/translocation (Duquesnes et al., 2011, p. 4; Parker et al., 2020, pp. 1-3; Scruggs et al., 2016, pp. 1-6).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Genetic amplification and dysregulated PRKCE activity have been linked to cancer, cardiovascular and inflammatory diseases (Manning et al., 2002, pp. 3-4, 7-8).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Duquesnes, N., Lezoualc’h, F., &amp; Crozatier, B. (2011). PKC-delta and PKC-epsilon: foes of the same family or strangers?</w:t>
      </w:r>
      <w:r>
        <w:t xml:space="preserve"> </w:t>
      </w:r>
      <w:r>
        <w:rPr>
          <w:i/>
          <w:iCs/>
        </w:rPr>
        <w:t xml:space="preserve">Journal of Molecular and Cellular Cardiology, 51</w:t>
      </w:r>
      <w:r>
        <w:t xml:space="preserve">(5), 665-673. https://doi.org/10.1016/j.yjmcc.2011.07.013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</w:t>
      </w:r>
      <w:r>
        <w:t xml:space="preserve"> </w:t>
      </w:r>
      <w:r>
        <w:rPr>
          <w:i/>
          <w:iCs/>
        </w:rPr>
        <w:t xml:space="preserve">Nature, 613</w:t>
      </w:r>
      <w:r>
        <w:t xml:space="preserve">(7945), 759-766.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</w:t>
      </w:r>
      <w:r>
        <w:t xml:space="preserve"> </w:t>
      </w:r>
      <w:r>
        <w:rPr>
          <w:i/>
          <w:iCs/>
        </w:rPr>
        <w:t xml:space="preserve">Science, 298</w:t>
      </w:r>
      <w:r>
        <w:t xml:space="preserve">(5600), 1912-1934. https://doi.org/10.1126/science.1075762</w:t>
      </w:r>
    </w:p>
    <w:p>
      <w:pPr>
        <w:pStyle w:val="BodyText"/>
      </w:pPr>
      <w:r>
        <w:t xml:space="preserve">Parker, P. J., Lockwood, N., Davis, K., Kelly, J. R., Soliman, T. N., Lopez Pardo, A., … Martini, S. (2020). A cancer-associated, genome-protective programme engaging PKCε.</w:t>
      </w:r>
      <w:r>
        <w:t xml:space="preserve"> </w:t>
      </w:r>
      <w:r>
        <w:rPr>
          <w:i/>
          <w:iCs/>
        </w:rPr>
        <w:t xml:space="preserve">Advances in Biological Regulation, 78</w:t>
      </w:r>
      <w:r>
        <w:t xml:space="preserve">, 100759. https://doi.org/10.1016/j.jbior.2020.100759</w:t>
      </w:r>
    </w:p>
    <w:p>
      <w:pPr>
        <w:pStyle w:val="BodyText"/>
      </w:pPr>
      <w:r>
        <w:t xml:space="preserve">Scruggs, S. B., Wang, D., &amp; Ping, P. (2016). PRKCE gene encoding protein kinase C-epsilon—dual roles at sarcomeres and mitochondria in cardiomyocytes.</w:t>
      </w:r>
      <w:r>
        <w:t xml:space="preserve"> </w:t>
      </w:r>
      <w:r>
        <w:rPr>
          <w:i/>
          <w:iCs/>
        </w:rPr>
        <w:t xml:space="preserve">Gene, 590</w:t>
      </w:r>
      <w:r>
        <w:t xml:space="preserve">(1), 90-96. https://doi.org/10.1016/j.gene.2016.06.016</w:t>
      </w:r>
    </w:p>
    <w:p>
      <w:pPr>
        <w:pStyle w:val="BodyText"/>
      </w:pPr>
      <w:r>
        <w:t xml:space="preserve">Unknown authors. (2012).</w:t>
      </w:r>
      <w:r>
        <w:t xml:space="preserve"> </w:t>
      </w:r>
      <w:r>
        <w:rPr>
          <w:i/>
          <w:iCs/>
        </w:rPr>
        <w:t xml:space="preserve">VHH activators and inhibitors for Protein Kinase C epsilon</w:t>
      </w:r>
      <w:r>
        <w:t xml:space="preserve"> </w:t>
      </w:r>
      <w:r>
        <w:t xml:space="preserve">(pp. 20-23).</w:t>
      </w:r>
    </w:p>
    <w:p>
      <w:pPr>
        <w:pStyle w:val="BodyText"/>
      </w:pPr>
      <w:r>
        <w:t xml:space="preserve">Zeng, L., Webster, S. V., &amp; Newton, P. M. (2012). The biology of protein kinase C. In</w:t>
      </w:r>
      <w:r>
        <w:t xml:space="preserve"> </w:t>
      </w:r>
      <w:r>
        <w:rPr>
          <w:i/>
          <w:iCs/>
        </w:rPr>
        <w:t xml:space="preserve">Advances in Experimental Medicine and Biology</w:t>
      </w:r>
      <w:r>
        <w:t xml:space="preserve"> </w:t>
      </w:r>
      <w:r>
        <w:t xml:space="preserve">(Vol. 740, pp. 639-661). Springer. https://doi.org/10.1007/978-94-007-2888-2_28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2025-07-03T23:34:18Z</dcterms:created>
  <dcterms:modified xsi:type="dcterms:W3CDTF">2025-07-03T23:34:18Z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