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PRKAA1, the catalytic α1 subunit of AMP-activated protein kinase (AMPK), is widely conserved throughout eukaryotes with the yeast SNF1 kinase representing the ancestral ortholog (Steinberg &amp; Hardie, 2023; Carling et al., 2012; Witczak et al., 2008). Mammalian α1 and α2 isoforms share ~90 % sequence identity across the kinase domain (Kurumbail &amp; Calabrese, 2016). Within the protein kinase super-family, PRKAA1 is classified in the Ca2+/calmodulin-dependent protein kinase (CAMK)-like group and further assigned to the RD (Arg-Asp) sub-family (Steinberg &amp; Hardie, 2023; Yan et al.,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(Yan et al., 2018; Gu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most commonly Mg2+ (also Mn2+), which coordinates ATP in the active site (Steinberg &amp; Hardie, 2023; Yan et al., 2018; Woods et al., 2003).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PRKAA1 phosphorylates Ser/Thr residues located within basic, hydrophobic motifs. Optimal peptide features include a hydrophobic residue at –5 (Met preferred), Arg/Lys at –3, and a hydrophobic residue at +4, yielding the consensus ϕ-X-Arg/Lys-X-X-Ser/Thr-X-ϕ (Johnson et al., 2023; Dale et al., 1995; Steinberg &amp; Hardie, 2023). Large-scale profiling confirms a general preference for basic residues N-terminal to the phospho-acceptor (Johnson et al., 2023). An illustrative minimal motif is L-X-R-X-X-S/T (Ducommun et al.,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AMPK holo-enzyme is a heterotrimer comprising the catalytic α (PRKAA1), scaffolding β and regulatory γ subunits (Steinberg &amp; Hardie, 2023; Carling et al., 2012).</w:t>
      </w:r>
      <w:r>
        <w:br/>
      </w:r>
      <w:r>
        <w:t xml:space="preserve">• α1 architecture: N-terminal kinase domain (KD), autoinhibitory domain (AID), and C-terminal region that contacts β/γ (Kurumbail &amp; Calabrese, 2016; Russell &amp; Hardie, 2020).</w:t>
      </w:r>
      <w:r>
        <w:br/>
      </w:r>
      <w:r>
        <w:t xml:space="preserve">• Key KD elements: ATP-binding cleft, activation loop (Thr172), and a mobile αC helix that shifts from an autoinhibitory to an active position during activation (Yan et al., 2018; Xiao et al., 2013).</w:t>
      </w:r>
      <w:r>
        <w:br/>
      </w:r>
      <w:r>
        <w:t xml:space="preserve">• β subunit: contains a carbohydrate-binding module (CBM) that docks onto the KD N-lobe (Kurumbail &amp; Calabrese, 2016).</w:t>
      </w:r>
      <w:r>
        <w:br/>
      </w:r>
      <w:r>
        <w:t xml:space="preserve">• γ subunit: houses four cystathionine-β-synthase (CBS) motifs forming adenine nucleotide–binding sites that sense cellular energy status (Carling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Allosteric and covalent mechanisms cooperate to modulate PRKAA1 activity (Steinberg &amp; Hardie, 2023).</w:t>
      </w:r>
      <w:r>
        <w:br/>
      </w:r>
      <w:r>
        <w:t xml:space="preserve">• Allosteric control: AMP binding to the γ subunit promotes an active conformation, enhances Thr172 phosphorylation and protects this site from phosphatases; ADP affords partial protection, whereas ATP antagonizes activation. The α-subunit AID suppresses basal activity (Kurumbail &amp; Calabrese, 2016; Carling et al., 2012).</w:t>
      </w:r>
      <w:r>
        <w:br/>
      </w:r>
      <w:r>
        <w:t xml:space="preserve">• Phosphorylation: Full activation requires Thr172 phosphorylation by upstream kinases LKB1 and CAMKK2 (Steinberg &amp; Hardie, 2023; Russell &amp; Hardie, 2020). Inhibitory Ser487 phosphorylation by AKT and others reduces Thr172 phosphorylation (Russell &amp; Hardie, 2020).</w:t>
      </w:r>
      <w:r>
        <w:br/>
      </w:r>
      <w:r>
        <w:t xml:space="preserve">• Dephosphorylation: PP2C family enzymes, PP1 and PP2A remove the Thr172 phosphate (Carling et al., 2012; Gu et al., 2017).</w:t>
      </w:r>
      <w:r>
        <w:br/>
      </w:r>
      <w:r>
        <w:t xml:space="preserve">• Ubiquitination: E3 ligase WWP1 can target AMPK for proteasomal degradation (Yan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AMPK incorporating PRKAA1 is a master sensor of cellular energy, highly expressed in skeletal muscle, liver and heart (Steinberg &amp; Hardie, 2023; Witczak et al., 2008).</w:t>
      </w:r>
      <w:r>
        <w:br/>
      </w:r>
      <w:r>
        <w:t xml:space="preserve">• Upstream/Downstream signaling: Activated by LKB1 and CAMKK2, PRKAA1 phosphorylates metabolic enzymes (acetyl-CoA carboxylase, HMG-CoA reductase, hormone-sensitive lipase) and regulators of autophagy and transcription (ULK1, TFEB, FOXO3) to restore ATP balance (Steinberg &amp; Hardie, 2023).</w:t>
      </w:r>
      <w:r>
        <w:br/>
      </w:r>
      <w:r>
        <w:t xml:space="preserve">• Cellular roles: Inhibits anabolic pathways (lipid and carbohydrate synthesis) while stimulating catabolic processes (fatty-acid oxidation, glucose uptake). Also governs cell proliferation, autophagy, mitochondrial homeostasis and lysosomal biogenesis (Steinberg &amp; Hardie, 2023; Kurumbail &amp; Calabrese,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Compound C is a widely used experimental ATP-competitive inhibitor of AMPK activity (Steinberg &amp; Hardie, 2023; Witczak et al.,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or functional disruption of AMPK subunits contributes to metabolic disorders, cancer and cardiovascular disease (Steinberg &amp; Hardie, 2023; Kurumbail &amp; Calabrese, 2016). Mutations in PRKAG2 (γ2) cause glycogen-storage cardiomyopathies (Gu et al., 2017). Loss-of-function mutations in the tumor-suppressor kinase LKB1 impair AMPK activation in many cancers (Russell &amp; Hardie,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Carling, D., Thornton, C., Woods, A., &amp; Sanders, M. (2012). AMP-activated protein kinase: New regulation, new roles? Biochemical Journal, 445(1), 11–27. https://doi.org/10.1042/BJ20120546</w:t>
      </w:r>
    </w:p>
    <w:p>
      <w:pPr>
        <w:pStyle w:val="BodyText"/>
      </w:pPr>
      <w:r>
        <w:t xml:space="preserve">Dale, S., Wilson, W. A., Edelman, A. M., &amp; Hardie, D. G. (1995). Similar substrate recognition motifs for mammalian AMP-activated protein kinase, higher plant HMG-CoA reductase kinase-A, yeast SNF1, and mammalian calmodulin-dependent protein kinase I. FEBS Letters, 361(2–3), 191–195. https://doi.org/10.1016/0014-5793(95)00172-6</w:t>
      </w:r>
    </w:p>
    <w:p>
      <w:pPr>
        <w:pStyle w:val="BodyText"/>
      </w:pPr>
      <w:r>
        <w:t xml:space="preserve">Ducommun, S., Deák, M., Sumpton, D., Ford, R., Núñez Galindo, A., Kussmann, M., Viollet, B., Steinberg, G., Foretz, M., Dayon, L., Morrice, N., &amp; Sakamoto, K. (2015). Motif affinity and mass spectrometry proteomic approach for the discovery of cellular AMPK targets: Identification of mitochondrial fission factor as a new AMPK substrate. Cellular Signalling, 27(5), 978–988. https://doi.org/10.1016/j.cellsig.2015.02.008</w:t>
      </w:r>
    </w:p>
    <w:p>
      <w:pPr>
        <w:pStyle w:val="BodyText"/>
      </w:pPr>
      <w:r>
        <w:t xml:space="preserve">Gu, X., Yan, Y., Novick, S., Kovach, A., Goswami, D., Ke, J., Tan, M., Wang, L., Li, X., de Waal, P. W., Webb, M., Griffin, P., Xu, H., &amp; Melcher, K. (2017). Deconvoluting AMP-activated protein kinase (AMPK) adenine nucleotide binding and sensing. Journal of Biological Chemistry, 292(30), 12653–12666. https://doi.org/10.1074/jbc.M117.793018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Kurumbail, R., &amp; Calabrese, M. (2016). Structure and regulation of AMPK. Experientia Supplementum, 107, 3–22. https://doi.org/10.1007/978-3-319-43589-3_1</w:t>
      </w:r>
    </w:p>
    <w:p>
      <w:pPr>
        <w:pStyle w:val="BodyText"/>
      </w:pPr>
      <w:r>
        <w:t xml:space="preserve">Russell, F. M., &amp; Hardie, D. G. (2020). AMP-activated protein kinase: Do we need activators or inhibitors to treat or prevent cancer? International Journal of Molecular Sciences, 22(1), 186. https://doi.org/10.3390/ijms22010186</w:t>
      </w:r>
    </w:p>
    <w:p>
      <w:pPr>
        <w:pStyle w:val="BodyText"/>
      </w:pPr>
      <w:r>
        <w:t xml:space="preserve">Steinberg, G., &amp; Hardie, D. G. (2023). New insights into activation and function of the AMPK. Nature Reviews Molecular Cell Biology, 24, 255–272. https://doi.org/10.1038/s41580-022-00547-x</w:t>
      </w:r>
    </w:p>
    <w:p>
      <w:pPr>
        <w:pStyle w:val="BodyText"/>
      </w:pPr>
      <w:r>
        <w:t xml:space="preserve">Witczak, C. A., Sharoff, C. G., &amp; Goodyear, L. J. (2008). AMP-activated protein kinase in skeletal muscle: From structure and localization to its role as a master regulator of cellular metabolism. Cellular and Molecular Life Sciences, 65(23), 3737–3755. https://doi.org/10.1007/s00018-008-8244-6</w:t>
      </w:r>
    </w:p>
    <w:p>
      <w:pPr>
        <w:pStyle w:val="BodyText"/>
      </w:pPr>
      <w:r>
        <w:t xml:space="preserve">Woods, A., Vertommen, D., Neumann, D., Türk, R., Bayliss, J., Schlattner, U., Wallimann, T., Carling, D., &amp; Rider, M. H. (2003). Identification of phosphorylation sites in AMP-activated protein kinase (AMPK) for upstream AMPK kinases and study of their roles by site-directed mutagenesis. Journal of Biological Chemistry, 278(32), 28434–28442. https://doi.org/10.1074/jbc.M303946200</w:t>
      </w:r>
    </w:p>
    <w:p>
      <w:pPr>
        <w:pStyle w:val="BodyText"/>
      </w:pPr>
      <w:r>
        <w:t xml:space="preserve">Xiao, B., Sanders, M. J., Carmena, D., Bright, N. J., Haire, L. F., Underwood, E., Patel, B. R., Heath, R. B., Walker, P. A., Hallen, S., Giordanetto, F., Martin, S. R., Carling, D., &amp; Gamblin, S. J. (2013). Structural basis of AMPK regulation by small-molecule activators. Nature Communications, 4, 3017. https://doi.org/10.1038/ncomms4017</w:t>
      </w:r>
    </w:p>
    <w:p>
      <w:pPr>
        <w:pStyle w:val="BodyText"/>
      </w:pPr>
      <w:r>
        <w:t xml:space="preserve">Yan, Y., Zhou, X. E., Xu, H., &amp; Melcher, K. (2018). Structure and physiological regulation of AMPK. International Journal of Molecular Sciences, 19(11), 3534. https://doi.org/10.3390/ijms19113534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2025-07-03T23:55:08Z</dcterms:created>
  <dcterms:modified xsi:type="dcterms:W3CDTF">2025-07-03T23:55:08Z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