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STK3/MST2 is a member of the STE20 protein‐kinase group, GCK-II subfamily, and shares ~75 % overall sequence identity ( &gt; 95 % within the catalytic domain) with its paralogue MST1 (Galan &amp; Avruch, 2016). Orthologues are found in Drosophila (Hippo), Saccharomyces cerevisiae (Cdc15) and Schizosaccharomyces pombe (Sid1), illustrating conservation of the Hippo/MEN–SIN signalling axis from fungi to mammals (Thompson &amp; Sahai, 2015). Within the human kinome, MST2 clusters with MST1 and is distinct from the related GCK-III kinases MST3/4/YSK1 (Record et al.,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protein-O-phospho-Ser/Thr (Pombo et al.,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cation; Mg²⁺ is preferred in all tested reactions (Record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MST2 phosphorylates threonine (and serine) residues located within hydrophobic motifs that typically contain a basic residue at positions −3 to −5 and a hydrophobic residue at +1 relative to the phosphoacceptor. Validated targets include MOB1A/B (Thr35/Thr12) and the hydrophobic-motif threonines of LATS1/2 (Galan &amp; Avruch, 2016; Avruch et al., 2012). Additional confirmed substrates are Histone H2B Ser14 and FOXO1/3A serines found within PXRX(S/T) motifs (Galan &amp; Avruch,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kinase domain (aa 1–300) containing the catalytic Lys59 (VAIK) and the HRD motif (His169-Arg170-Asp171) (Record et al., 2010).</w:t>
      </w:r>
      <w:r>
        <w:br/>
      </w:r>
      <w:r>
        <w:t xml:space="preserve">• Unstructured linker harbouring the caspase-3 cleavage site DELD322 that produces an active 36 kDa fragment (Fallahi et al., 2016).</w:t>
      </w:r>
      <w:r>
        <w:br/>
      </w:r>
      <w:r>
        <w:t xml:space="preserve">• C-terminal SARAH coiled-coil (~50 aa) that mediates homo- and heterodimerisation with SAV1 or RASSF proteins (Galan &amp; Avruch, 2016).</w:t>
      </w:r>
    </w:p>
    <w:p>
      <w:pPr>
        <w:pStyle w:val="BodyText"/>
      </w:pPr>
      <w:r>
        <w:t xml:space="preserve">Crystal structures (e.g., PDB 4LGF, 4LGG, 3OM8, 4MB3) reveal the canonical bilobed kinase fold, an ordered activation loop when Thr180 is phosphorylated, a complete regulatory spine, and an activation-loop-swapped dimer that supports trans-autophosphorylation (Galan &amp; Avruch, 2016; Record et al., 2010). An AlphaFold model corroborates the SARAH-mediated antiparallel dimer arrangement (Galan &amp; Avruch, 2016). Key regulatory elements include Thr180 autophosphorylation, the Glu/Asp57–Lys59 ion pair, and SARAH-domain-driven dimerisation.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on Thr180 activates the kinase (Galan &amp; Avruch, 2016).</w:t>
      </w:r>
      <w:r>
        <w:br/>
      </w:r>
      <w:r>
        <w:t xml:space="preserve">• Caspase-3 cleavage at DELD322 generates a constitutively active nuclear fragment (Fallahi et al., 2016).</w:t>
      </w:r>
      <w:r>
        <w:br/>
      </w:r>
      <w:r>
        <w:t xml:space="preserve">• AKT phosphorylates Thr117 and Thr384, promoting RAF1 binding and inhibition (Fallahi et al., 2016).</w:t>
      </w:r>
      <w:r>
        <w:br/>
      </w:r>
      <w:r>
        <w:t xml:space="preserve">• ABL phosphorylates Tyr81, counteracting RAF1-mediated inhibition (Galan &amp; Avruch, 2016).</w:t>
      </w:r>
      <w:r>
        <w:br/>
      </w:r>
      <w:r>
        <w:t xml:space="preserve">• Aurora B phosphorylation reduces activity during mitosis (Galan &amp; Avruch, 2016).</w:t>
      </w:r>
      <w:r>
        <w:br/>
      </w:r>
      <w:r>
        <w:t xml:space="preserve">• Phosphorylation near Ser444 enhances activity (Karchugina et al., 2021).</w:t>
      </w:r>
      <w:r>
        <w:br/>
      </w:r>
      <w:r>
        <w:t xml:space="preserve">• PP2A–STRIPAK dephosphorylates the activation loop, reversing activation (Thompson &amp; Sahai, 2015).</w:t>
      </w:r>
      <w:r>
        <w:br/>
      </w:r>
      <w:r>
        <w:t xml:space="preserve">• Ubiquitination by CHIP/STUB1 has been shown for MST1 and is predicted for MST2 on homologous lysines (Galan &amp; Avruch, 2016).</w:t>
      </w:r>
    </w:p>
    <w:p>
      <w:pPr>
        <w:pStyle w:val="BodyText"/>
      </w:pPr>
      <w:r>
        <w:t xml:space="preserve">Allosteric / conformational regulation</w:t>
      </w:r>
      <w:r>
        <w:br/>
      </w:r>
      <w:r>
        <w:t xml:space="preserve">Homodimerisation via the SARAH domain enables trans-autophosphorylation; heterodimerisation with RAF1 or RASSF5B competes with this process and suppresses activity (Fallahi et al., 2016; Galan &amp; Avruch, 2016). mTORC2 signalling further inhibits MST2 in cardiomyocytes (Rawat et al.,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MST2 is broadly expressed, with higher levels in proliferative tissues such as liver and intestine (Galan &amp; Avruch, 2016).</w:t>
      </w:r>
    </w:p>
    <w:p>
      <w:pPr>
        <w:pStyle w:val="BodyText"/>
      </w:pPr>
      <w:r>
        <w:t xml:space="preserve">Upstream regulators</w:t>
      </w:r>
      <w:r>
        <w:br/>
      </w:r>
      <w:r>
        <w:t xml:space="preserve">TAO1 directly phosphorylates and activates MST2 (Galan &amp; Avruch, 2016); MAP4K family members provide parallel inputs to LATS activation (Rawat et al., 2016). DNA-damage-induced ATM/ATR signalling activates MST2 through RASSF1A (Fallahi et al., 2016).</w:t>
      </w:r>
    </w:p>
    <w:p>
      <w:pPr>
        <w:pStyle w:val="BodyText"/>
      </w:pPr>
      <w:r>
        <w:t xml:space="preserve">Downstream substrates / interactors</w:t>
      </w:r>
      <w:r>
        <w:br/>
      </w:r>
      <w:r>
        <w:t xml:space="preserve">Confirmed substrates include LATS1/2, MOB1A/B, NDR1/2, FOXO1/3A, Histone H2B, Aurora A/B, PKCα, Nek2A and VASP (Galan &amp; Avruch, 2016). Interaction partners encompass SAV1, RASSF1-6, RAF1, STRIPAK components and, indirectly, YAP/TAZ via the LATS module (Galan &amp; Avruch, 2016; Fallahi et al., 2016).</w:t>
      </w:r>
    </w:p>
    <w:p>
      <w:pPr>
        <w:pStyle w:val="BodyText"/>
      </w:pPr>
      <w:r>
        <w:t xml:space="preserve">Signalling roles</w:t>
      </w:r>
      <w:r>
        <w:br/>
      </w:r>
      <w:r>
        <w:t xml:space="preserve">• Core kinase of the Hippo pathway: MST2–SAV1 activates LATS1/2–MOB1, leading to YAP/TAZ inhibition and control of cell proliferation and apoptosis (Bata et al., 2021; Avruch et al., 2012).</w:t>
      </w:r>
      <w:r>
        <w:br/>
      </w:r>
      <w:r>
        <w:t xml:space="preserve">• Pro-apoptotic effector: the caspase-cleaved fragment phosphorylates Histone H2B, promoting chromatin condensation and DNA fragmentation (Delpire, 2009).</w:t>
      </w:r>
      <w:r>
        <w:br/>
      </w:r>
      <w:r>
        <w:t xml:space="preserve">• Regulates cytoskeletal dynamics and migration through phosphorylation of DENND1C and VASP (Galan &amp; Avruch, 2016).</w:t>
      </w:r>
      <w:r>
        <w:br/>
      </w:r>
      <w:r>
        <w:t xml:space="preserve">• Facilitates T-cell adhesion/migration downstream of Rap1 via RASSF5B/RAPL (Galan &amp; Avruch,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PF-06447475 – ATP-competitive inhibitor active against MST1/2 in cells (Bata et al., 2021).</w:t>
      </w:r>
      <w:r>
        <w:br/>
      </w:r>
      <w:r>
        <w:t xml:space="preserve">• XMU-MP-1 – pan-MST1/2 inhibitor widely used to modulate Hippo signalling (Bata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Reduced MST2-Hippo signalling is associated with hepatocellular carcinoma, glioblastoma and colorectal cancer (Bata et al., 2021; Record et al., 2010). Oncogenic BRAF^V600E blocks MST2 in thyroid carcinoma, while KRAS promotes inhibitory RAF1–MST2 complexes (Fallahi et al., 2016; Rawat et al., 2016). MST2 suppression can enhance adipogenic differentiation and contribute to arrhythmogenic cardiomyopathy (Pombo et al.,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Avruch, J., Zhou, D., Fitamant, J., Bardeesy, N., Mou, F., &amp; Regué Barrufet, L. (2012). Protein kinases of the Hippo pathway: regulation and substrates. Seminars in Cell &amp; Developmental Biology, 23, 770–784. https://doi.org/10.1016/j.semcdb.2012.07.002</w:t>
      </w:r>
    </w:p>
    <w:p>
      <w:pPr>
        <w:pStyle w:val="BodyText"/>
      </w:pPr>
      <w:r>
        <w:t xml:space="preserve">Bata, N., Chaikuad, A., Bakas, N. A., Limpert, A. S., Lambert, L. J., Sheffler, D. J., … Cosford, N. D. P. (2021). Inhibitors of the Hippo pathway kinases STK3/MST2 and STK4/MST1 have utility for the treatment of acute myeloid leukemia. Journal of Medicinal Chemistry, 65, 1352–1369. https://doi.org/10.1021/acs.jmedchem.1c00804</w:t>
      </w:r>
    </w:p>
    <w:p>
      <w:pPr>
        <w:pStyle w:val="BodyText"/>
      </w:pPr>
      <w:r>
        <w:t xml:space="preserve">Delpire, E. (2009). The mammalian family of sterile 20p-like protein kinases. Pflügers Archiv – European Journal of Physiology, 458, 953–967. https://doi.org/10.1007/s00424-009-0674-y</w:t>
      </w:r>
    </w:p>
    <w:p>
      <w:pPr>
        <w:pStyle w:val="BodyText"/>
      </w:pPr>
      <w:r>
        <w:t xml:space="preserve">Fallahi, E., O’Driscoll, N. A., &amp; Matallanas, D. (2016). The MST/Hippo pathway and cell death: a non-canonical affair. Genes, 7, 28. https://doi.org/10.3390/genes7060028</w:t>
      </w:r>
    </w:p>
    <w:p>
      <w:pPr>
        <w:pStyle w:val="BodyText"/>
      </w:pPr>
      <w:r>
        <w:t xml:space="preserve">Galan, J. A., &amp; Avruch, J. (2016). MST1/MST2 protein kinases: regulation and physiologic roles. Biochemistry, 55, 5507–5519. https://doi.org/10.1021/acs.biochem.6b00763</w:t>
      </w:r>
    </w:p>
    <w:p>
      <w:pPr>
        <w:pStyle w:val="BodyText"/>
      </w:pPr>
      <w:r>
        <w:t xml:space="preserve">Karchugina, S., Benton, D., &amp; Chernoff, J. (2021). Regulation of MST complexes and activity via SARAH domain modifications. Biochemical Society Transactions, 49, 1813–1824. https://doi.org/10.1042/BST20200559</w:t>
      </w:r>
    </w:p>
    <w:p>
      <w:pPr>
        <w:pStyle w:val="BodyText"/>
      </w:pPr>
      <w:r>
        <w:t xml:space="preserve">Pombo, C. M., Iglesias, C., Sartages, M., &amp; Zalvide, J. B. (2019). MST kinases and metabolism. Endocrinology, 160, 1111–1118. https://doi.org/10.1210/en.2018-00898</w:t>
      </w:r>
    </w:p>
    <w:p>
      <w:pPr>
        <w:pStyle w:val="BodyText"/>
      </w:pPr>
      <w:r>
        <w:t xml:space="preserve">Rawat, S., Araiza-Olivera, D., Arias-Romero, L. E., Villamar-Cruz, O., Prudnikova, T., Roder, H., &amp; Chernoff, J. (2016). H-Ras inhibits the Hippo pathway by promoting MST1/MST2 heterodimerization. Current Biology, 26, 1556–1563. https://doi.org/10.1016/j.cub.2016.04.027</w:t>
      </w:r>
    </w:p>
    <w:p>
      <w:pPr>
        <w:pStyle w:val="BodyText"/>
      </w:pPr>
      <w:r>
        <w:t xml:space="preserve">Record, C. J., Chaikuad, A., Rellos, P., Das, S. K., Pike, A., Fedorov, O., … Lee, W. H. (2010). Structural comparison of human mammalian Ste20-like kinases. PLoS ONE, 5, e11905. https://doi.org/10.1371/journal.pone.0011905</w:t>
      </w:r>
    </w:p>
    <w:p>
      <w:pPr>
        <w:pStyle w:val="BodyText"/>
      </w:pPr>
      <w:r>
        <w:t xml:space="preserve">Thompson, B., &amp; Sahai, E. (2015). MST kinases in development and disease. The Journal of Cell Biology, 210, 871–882. https://doi.org/10.1083/jcb.201507005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2025-07-03T23:21:38Z</dcterms:created>
  <dcterms:modified xsi:type="dcterms:W3CDTF">2025-07-03T23:21:38Z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