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MAP3K1 (MEKK1) is a serine/threonine protein kinase of the MEKK sub-family within the MAP kinase kinase kinase (MAP3K) group of the STE superfamily (Hagemann &amp; Blank, 2001; Pham, Angus, &amp; Johnson, 2013). Kinase-motif trees place MAP3K1 with the MAP3K clade alongside MEKK2 and MEKK3 (Johnson et al., 2023; Craig et al., 2008). Orthologues occur from yeast to mammals; it is homologous to the yeast kinases Ste11p and Byr2p, although MEKK1 cannot rescue Ste11 function in yeast (Hagemann &amp; Blank, 2001; Suddason &amp; Gallagher, 2015; Yan et al., 1994).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⇌ ADP + H⁺ + O-phospho-L-seryl/threonyl-[protein] (Charlaftis et al., 2014; Hagemann &amp; Blank, 2001; Craig et al., 2008).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required for the ATP-dependent phosphotransfer reaction (Suddason &amp; Gallagher, 2015; Yan et al., 1994).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MEKK1 preferentially phosphorylates Ser/Thr residues followed by Pro (S/T-P motifs). Peptide-array profiling assigns MEKK1 to motif cluster 14, indicating selectivity for residues at positions −3 to +4 around the phospho-site; a DFG + 1 alanine biases toward threonine phosphorylation (Charlaftis et al., 2014; Johnson et al., 2023).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~1500-residue protein comprises (Gehi et al., 2022; Wang et al., 2021):</w:t>
      </w:r>
      <w:r>
        <w:br/>
      </w:r>
      <w:r>
        <w:t xml:space="preserve">• C-terminal kinase domain with canonical C-helix, hydrophobic spine and phosphorylation-regulated activation loop.</w:t>
      </w:r>
      <w:r>
        <w:br/>
      </w:r>
      <w:r>
        <w:t xml:space="preserve">• N-terminal regulatory region containing proline-rich sequences, a Ras-binding module, putative PH and GEF domains, and a tubulin-binding TOG segment.</w:t>
      </w:r>
      <w:r>
        <w:br/>
      </w:r>
      <w:r>
        <w:t xml:space="preserve">• SWIM zinc-binding domain (aa 338–366) that recruits c-Jun.</w:t>
      </w:r>
      <w:r>
        <w:br/>
      </w:r>
      <w:r>
        <w:t xml:space="preserve">• RING/PHD finger (aa 443–492) conferring E3 ubiquitin ligase activity.</w:t>
      </w:r>
      <w:r>
        <w:br/>
      </w:r>
      <w:r>
        <w:t xml:space="preserve">AlphaFold modelling shows the kinase domain centrally positioned with flanking flexible regulatory segments.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Phosphorylation: Activation through trans-autophosphorylation (Ser67, Thr1381) or by upstream PKC isoforms and c-Abl (Hagemann &amp; Blank, 2001; Pham et al., 2013; Charlaftis et al., 2014).</w:t>
      </w:r>
      <w:r>
        <w:br/>
      </w:r>
      <w:r>
        <w:t xml:space="preserve">• Ubiquitination: The PHD/RING catalyses Lys63-linked auto-ubiquitination that modulates ERK1/2 and JNK signalling without degrading the kinase (Pham et al., 2013; Charlaftis et al., 2014).</w:t>
      </w:r>
      <w:r>
        <w:br/>
      </w:r>
      <w:r>
        <w:t xml:space="preserve">• Proteolytic cleavage: Caspase-3 cuts at a conserved DEVD motif (Asp878), yielding an active C-terminal fragment that promotes apoptosis (Pham et al., 2013; Wang et al., 2021).</w:t>
      </w:r>
      <w:r>
        <w:br/>
      </w:r>
      <w:r>
        <w:t xml:space="preserve">• Redox control: Glutathionylation at Cys1238 inhibits activity (Wang et al., 2021).</w:t>
      </w:r>
      <w:r>
        <w:br/>
      </w:r>
      <w:r>
        <w:t xml:space="preserve">• Intramolecular and G-protein interactions: N- and C-terminal domains interact to autoinhibit the kinase; binding of Ras, Rac or Cdc42 and regulatory phosphorylation relieve this inhibition (Hagemann &amp; Blank, 2001; Pham et al., 2013).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MEKK1 acts as a kinase and scaffold integrating stress, cytokine and growth-factor signals to regulate JNK, p38, ERK and NF-κB pathways (Hagemann &amp; Blank, 2001; Suddason &amp; Gallagher, 2015).</w:t>
      </w:r>
      <w:r>
        <w:br/>
      </w:r>
      <w:r>
        <w:t xml:space="preserve">Expression: High in brain, glands, sensory organs (inner ear), skin; lower in heart, liver, ovary and testis. Present in embryonic stem cells, fibroblasts, keratinocytes, cardiomyocytes and immune B/T cells (Wang et al., 2021; Suddason &amp; Gallagher, 2015).</w:t>
      </w:r>
      <w:r>
        <w:br/>
      </w:r>
      <w:r>
        <w:t xml:space="preserve">Upstream adaptors: TRAF2, TRAF6, TRADD.</w:t>
      </w:r>
      <w:r>
        <w:br/>
      </w:r>
      <w:r>
        <w:t xml:space="preserve">Direct substrates: MAP2Ks (MKK4, MKK7, MEK1) and IKKα/β; ubiquitin ligase targets include c-Jun, ERK1/2 and TAB1 (Hagemann &amp; Blank, 2001; Charlaftis et al., 2014).</w:t>
      </w:r>
      <w:r>
        <w:br/>
      </w:r>
      <w:r>
        <w:t xml:space="preserve">Biological roles: Controls apoptosis, survival, migration, immune-cell development, cardiac protection, testis development and wound healing. Full-length MEKK1 promotes survival/migration, whereas the caspase-generated fragment drives apoptosis (Pham et al., 2013).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MAP3K1 mutations or deletions occur in several cancers. Alterations correlate with better survival in uterine corpus endometrioid carcinoma and are frequent in luminal A breast cancer. Depending on tumor type, MEKK1 can suppress metastasis (ovarian, prostate, gastric) or promote malignancy (melanoma). Redundancy with MEKK2, MEKK3 and NIK lessens its necessity for TNF-α-induced JNK/NF-κB activation. Map3k1-null mice exhibit defective eyelid closure due to impaired epithelial migration (Pham et al., 2013; Hagemann &amp; Blank, 2001).</w:t>
      </w:r>
    </w:p>
    <w:bookmarkEnd w:id="16"/>
    <w:bookmarkStart w:id="17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Charlaftis, N., Suddason, T., Wu, X., Anwar, S., Karin, M., &amp; Gallagher, E. (2014). The MEKK1 PHD ubiquitinates TAB1 to activate MAPKs in response to cytokines. The EMBO Journal, 33, 2581–2596. https://doi.org/10.15252/embj.201488351</w:t>
      </w:r>
    </w:p>
    <w:p>
      <w:pPr>
        <w:pStyle w:val="BodyText"/>
      </w:pPr>
      <w:r>
        <w:t xml:space="preserve">Craig, E. A., Stevens, M. V., Vaillancourt, R. R., &amp; Camenisch, T. D. (2008). MAP3Ks as central regulators of cell fate during development. Developmental Dynamics. https://doi.org/10.1002/dvdy.21750</w:t>
      </w:r>
    </w:p>
    <w:p>
      <w:pPr>
        <w:pStyle w:val="BodyText"/>
      </w:pPr>
      <w:r>
        <w:t xml:space="preserve">Gehi, B. R., Gadhave, K., Uversky, V., &amp; Giri, R. (2022). Intrinsic disorder in proteins associated with oxidative stress-induced JNK signaling. Cellular and Molecular Life Sciences. https://doi.org/10.1007/s00018-022-04230-4</w:t>
      </w:r>
    </w:p>
    <w:p>
      <w:pPr>
        <w:pStyle w:val="BodyText"/>
      </w:pPr>
      <w:r>
        <w:t xml:space="preserve">Hagemann, C., &amp; Blank, J. L. (2001). The ups and downs of MEK kinase interactions. Cellular Signalling, 13, 863–875. https://doi.org/10.1016/S0898-6568(01)00220-0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Pham, T. T., Angus, S. P., &amp; Johnson, G. L. (2013). MAP3K1: Genomic alterations in cancer and function in promoting cell survival or apoptosis. Genes &amp; Cancer, 4, 419–426. https://doi.org/10.1177/1947601913513950</w:t>
      </w:r>
    </w:p>
    <w:p>
      <w:pPr>
        <w:pStyle w:val="BodyText"/>
      </w:pPr>
      <w:r>
        <w:t xml:space="preserve">Suddason, T., &amp; Gallagher, E. (2015). A RING to rule them all? Insights into the MAP3K1 PHD motif provide a new mechanistic understanding into the diverse roles of MAP3K1. Cell Death &amp; Differentiation, 22, 540–548. https://doi.org/10.1038/cdd.2014.239</w:t>
      </w:r>
    </w:p>
    <w:p>
      <w:pPr>
        <w:pStyle w:val="BodyText"/>
      </w:pPr>
      <w:r>
        <w:t xml:space="preserve">Wang, J., Kimura, E., Mongan, M., &amp; Xia, Y. (2021). Genetic control of MAP3K1 in eye development and sex differentiation. Cells. https://doi.org/10.3390/cells11010034</w:t>
      </w:r>
    </w:p>
    <w:p>
      <w:pPr>
        <w:pStyle w:val="BodyText"/>
      </w:pPr>
      <w:r>
        <w:t xml:space="preserve">Yan, M., Dai, T., Deak, J., Kyriakis, J., Zon, L. I., Woodgett, J. R., &amp; Templeton, D. J. (1994). Activation of stress-activated protein kinase by MEKK1 phosphorylation of its activator SEK1. Nature, 372, 798–800. https://doi.org/10.1038/372798a0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2025-07-03T21:49:23Z</dcterms:created>
  <dcterms:modified xsi:type="dcterms:W3CDTF">2025-07-03T21:49:23Z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